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5C3F8B">
        <w:trPr>
          <w:jc w:val="center"/>
        </w:trPr>
        <w:tc>
          <w:tcPr>
            <w:tcW w:w="743" w:type="dxa"/>
          </w:tcPr>
          <w:p w:rsidR="0094424E" w:rsidRPr="005C3F8B" w:rsidRDefault="0094424E" w:rsidP="00D44968">
            <w:pPr>
              <w:suppressLineNumbers/>
              <w:jc w:val="both"/>
              <w:rPr>
                <w:rFonts w:ascii="Arial" w:hAnsi="Arial"/>
                <w:b/>
                <w:bCs/>
                <w:sz w:val="26"/>
                <w:rtl/>
              </w:rPr>
            </w:pPr>
            <w:bookmarkStart w:id="0" w:name="_GoBack"/>
            <w:bookmarkEnd w:id="0"/>
            <w:r w:rsidRPr="005C3F8B">
              <w:rPr>
                <w:rtl/>
              </w:rPr>
              <w:t xml:space="preserve"> </w:t>
            </w:r>
            <w:r w:rsidR="00AC5857" w:rsidRPr="005C3F8B">
              <w:rPr>
                <w:rFonts w:ascii="Arial" w:hAnsi="Arial" w:hint="cs"/>
                <w:b/>
                <w:bCs/>
                <w:sz w:val="26"/>
                <w:rtl/>
              </w:rPr>
              <w:t>ל</w:t>
            </w:r>
            <w:r w:rsidRPr="005C3F8B">
              <w:rPr>
                <w:rFonts w:ascii="Arial" w:hAnsi="Arial"/>
                <w:b/>
                <w:bCs/>
                <w:sz w:val="26"/>
                <w:rtl/>
              </w:rPr>
              <w:t xml:space="preserve">פני </w:t>
            </w:r>
          </w:p>
        </w:tc>
        <w:tc>
          <w:tcPr>
            <w:tcW w:w="8077" w:type="dxa"/>
            <w:gridSpan w:val="2"/>
          </w:tcPr>
          <w:p w:rsidR="0094424E" w:rsidRPr="005C3F8B" w:rsidRDefault="000529D2" w:rsidP="00E9269D">
            <w:pPr>
              <w:suppressLineNumbers/>
              <w:rPr>
                <w:rFonts w:ascii="Arial" w:hAnsi="Arial"/>
                <w:b/>
                <w:bCs/>
                <w:sz w:val="26"/>
                <w:rtl/>
              </w:rPr>
            </w:pPr>
            <w:r w:rsidRPr="005C3F8B">
              <w:rPr>
                <w:rFonts w:ascii="Arial" w:hAnsi="Arial" w:hint="cs"/>
                <w:b/>
                <w:bCs/>
                <w:sz w:val="26"/>
                <w:rtl/>
              </w:rPr>
              <w:t>כבוד</w:t>
            </w:r>
            <w:r w:rsidR="0094424E" w:rsidRPr="005C3F8B">
              <w:rPr>
                <w:rFonts w:ascii="Arial" w:hAnsi="Arial" w:hint="cs"/>
                <w:b/>
                <w:bCs/>
                <w:sz w:val="26"/>
                <w:rtl/>
              </w:rPr>
              <w:t xml:space="preserve"> ה</w:t>
            </w:r>
            <w:sdt>
              <w:sdtPr>
                <w:rPr>
                  <w:sz w:val="26"/>
                  <w:rtl/>
                </w:rPr>
                <w:alias w:val="1574"/>
                <w:tag w:val="1574"/>
                <w:id w:val="414602899"/>
                <w:text w:multiLine="1"/>
              </w:sdtPr>
              <w:sdtEndPr/>
              <w:sdtContent>
                <w:r w:rsidRPr="005C3F8B">
                  <w:rPr>
                    <w:rFonts w:ascii="Arial" w:hAnsi="Arial"/>
                    <w:b/>
                    <w:bCs/>
                    <w:sz w:val="26"/>
                    <w:rtl/>
                  </w:rPr>
                  <w:t>שופט</w:t>
                </w:r>
              </w:sdtContent>
            </w:sdt>
            <w:r w:rsidR="0094424E" w:rsidRPr="005C3F8B">
              <w:rPr>
                <w:rFonts w:ascii="Arial" w:hAnsi="Arial" w:hint="cs"/>
                <w:b/>
                <w:bCs/>
                <w:sz w:val="26"/>
                <w:rtl/>
              </w:rPr>
              <w:t xml:space="preserve"> </w:t>
            </w:r>
            <w:sdt>
              <w:sdtPr>
                <w:rPr>
                  <w:sz w:val="26"/>
                  <w:rtl/>
                </w:rPr>
                <w:alias w:val="1573"/>
                <w:tag w:val="1573"/>
                <w:id w:val="-1751030614"/>
                <w:text w:multiLine="1"/>
              </w:sdtPr>
              <w:sdtEndPr/>
              <w:sdtContent>
                <w:r w:rsidRPr="005C3F8B">
                  <w:rPr>
                    <w:rFonts w:ascii="Arial" w:hAnsi="Arial"/>
                    <w:b/>
                    <w:bCs/>
                    <w:sz w:val="26"/>
                    <w:rtl/>
                  </w:rPr>
                  <w:t>אילן בן-דור</w:t>
                </w:r>
              </w:sdtContent>
            </w:sdt>
          </w:p>
          <w:p w:rsidR="00007DE0" w:rsidRPr="005C3F8B" w:rsidRDefault="00007DE0" w:rsidP="00007DE0">
            <w:pPr>
              <w:suppressLineNumbers/>
              <w:rPr>
                <w:sz w:val="26"/>
              </w:rPr>
            </w:pPr>
          </w:p>
        </w:tc>
      </w:tr>
      <w:tr w:rsidR="0094424E" w:rsidRPr="005C3F8B" w:rsidTr="00465D36">
        <w:trPr>
          <w:jc w:val="center"/>
        </w:trPr>
        <w:tc>
          <w:tcPr>
            <w:tcW w:w="3249" w:type="dxa"/>
            <w:gridSpan w:val="2"/>
          </w:tcPr>
          <w:sdt>
            <w:sdtPr>
              <w:rPr>
                <w:rtl/>
              </w:rPr>
              <w:alias w:val="1180"/>
              <w:tag w:val="1180"/>
              <w:id w:val="637458750"/>
              <w:text w:multiLine="1"/>
            </w:sdtPr>
            <w:sdtEndPr/>
            <w:sdtContent>
              <w:p w:rsidR="00F82439" w:rsidRPr="005C3F8B" w:rsidRDefault="00A76FBC">
                <w:pPr>
                  <w:suppressLineNumbers/>
                  <w:rPr>
                    <w:rFonts w:ascii="Arial" w:hAnsi="Arial"/>
                    <w:b/>
                    <w:bCs/>
                    <w:noProof w:val="0"/>
                    <w:sz w:val="26"/>
                    <w:rtl/>
                  </w:rPr>
                </w:pPr>
                <w:r w:rsidRPr="005C3F8B">
                  <w:rPr>
                    <w:rFonts w:ascii="Arial" w:hAnsi="Arial"/>
                    <w:b/>
                    <w:bCs/>
                    <w:noProof w:val="0"/>
                    <w:sz w:val="26"/>
                    <w:rtl/>
                  </w:rPr>
                  <w:t>מערערים</w:t>
                </w:r>
              </w:p>
            </w:sdtContent>
          </w:sdt>
        </w:tc>
        <w:tc>
          <w:tcPr>
            <w:tcW w:w="5571" w:type="dxa"/>
          </w:tcPr>
          <w:p w:rsidR="00FA7FD0" w:rsidRPr="005C3F8B" w:rsidRDefault="00FA7FD0" w:rsidP="00D44968">
            <w:pPr>
              <w:suppressLineNumbers/>
              <w:rPr>
                <w:rtl/>
              </w:rPr>
            </w:pPr>
          </w:p>
          <w:p w:rsidR="0094424E" w:rsidRPr="005C3F8B" w:rsidRDefault="00B84A6B" w:rsidP="00FE09EC">
            <w:pPr>
              <w:suppressLineNumbers/>
              <w:rPr>
                <w:b/>
                <w:bCs/>
                <w:noProof w:val="0"/>
                <w:sz w:val="26"/>
              </w:rPr>
            </w:pPr>
            <w:sdt>
              <w:sdtPr>
                <w:rPr>
                  <w:rFonts w:ascii="Arial" w:hAnsi="Arial"/>
                  <w:b/>
                  <w:bCs/>
                  <w:noProof w:val="0"/>
                  <w:sz w:val="26"/>
                  <w:rtl/>
                </w:rPr>
                <w:alias w:val="3151"/>
                <w:tag w:val="3151"/>
                <w:id w:val="1166218717"/>
                <w:placeholder>
                  <w:docPart w:val="1C8A38705F7143EA87FF3DEB2C34E7E5"/>
                </w:placeholder>
                <w:text w:multiLine="1"/>
              </w:sdtPr>
              <w:sdtEndPr/>
              <w:sdtContent>
                <w:r w:rsidR="00E765F7" w:rsidRPr="005C3F8B">
                  <w:rPr>
                    <w:rFonts w:ascii="Arial" w:hAnsi="Arial"/>
                    <w:b/>
                    <w:bCs/>
                    <w:noProof w:val="0"/>
                    <w:sz w:val="26"/>
                    <w:rtl/>
                  </w:rPr>
                  <w:t>שגיא אוסטרובסקי</w:t>
                </w:r>
              </w:sdtContent>
            </w:sdt>
          </w:p>
        </w:tc>
      </w:tr>
      <w:tr w:rsidR="0094424E" w:rsidRPr="005C3F8B">
        <w:trPr>
          <w:jc w:val="center"/>
        </w:trPr>
        <w:tc>
          <w:tcPr>
            <w:tcW w:w="8820" w:type="dxa"/>
            <w:gridSpan w:val="3"/>
          </w:tcPr>
          <w:p w:rsidR="0094424E" w:rsidRPr="005C3F8B" w:rsidRDefault="0094424E" w:rsidP="00D44968">
            <w:pPr>
              <w:suppressLineNumbers/>
              <w:rPr>
                <w:rFonts w:ascii="Arial" w:hAnsi="Arial"/>
                <w:b/>
                <w:bCs/>
                <w:noProof w:val="0"/>
                <w:sz w:val="26"/>
                <w:rtl/>
              </w:rPr>
            </w:pPr>
          </w:p>
          <w:p w:rsidR="0094424E" w:rsidRPr="005C3F8B" w:rsidRDefault="0094424E" w:rsidP="00D44968">
            <w:pPr>
              <w:suppressLineNumbers/>
              <w:jc w:val="center"/>
              <w:rPr>
                <w:rFonts w:ascii="Arial" w:hAnsi="Arial"/>
                <w:b/>
                <w:bCs/>
                <w:noProof w:val="0"/>
                <w:sz w:val="26"/>
                <w:rtl/>
              </w:rPr>
            </w:pPr>
            <w:r w:rsidRPr="005C3F8B">
              <w:rPr>
                <w:rFonts w:ascii="Arial" w:hAnsi="Arial"/>
                <w:b/>
                <w:bCs/>
                <w:noProof w:val="0"/>
                <w:sz w:val="26"/>
                <w:rtl/>
              </w:rPr>
              <w:t>נגד</w:t>
            </w:r>
          </w:p>
          <w:p w:rsidR="0094424E" w:rsidRPr="005C3F8B" w:rsidRDefault="0094424E" w:rsidP="00D44968">
            <w:pPr>
              <w:suppressLineNumbers/>
              <w:rPr>
                <w:rFonts w:ascii="Arial" w:hAnsi="Arial"/>
                <w:b/>
                <w:bCs/>
                <w:noProof w:val="0"/>
                <w:sz w:val="26"/>
              </w:rPr>
            </w:pPr>
          </w:p>
        </w:tc>
      </w:tr>
      <w:tr w:rsidR="0094424E" w:rsidRPr="005C3F8B">
        <w:trPr>
          <w:jc w:val="center"/>
        </w:trPr>
        <w:tc>
          <w:tcPr>
            <w:tcW w:w="3249" w:type="dxa"/>
            <w:gridSpan w:val="2"/>
          </w:tcPr>
          <w:p w:rsidR="0094424E" w:rsidRPr="005C3F8B" w:rsidRDefault="00B84A6B" w:rsidP="00D44968">
            <w:pPr>
              <w:suppressLineNumbers/>
              <w:rPr>
                <w:rFonts w:ascii="Arial" w:hAnsi="Arial"/>
                <w:b/>
                <w:bCs/>
                <w:noProof w:val="0"/>
                <w:sz w:val="26"/>
              </w:rPr>
            </w:pPr>
            <w:sdt>
              <w:sdtPr>
                <w:rPr>
                  <w:rtl/>
                </w:rPr>
                <w:alias w:val="1184"/>
                <w:tag w:val="1184"/>
                <w:id w:val="-340621022"/>
                <w:text w:multiLine="1"/>
              </w:sdtPr>
              <w:sdtEndPr/>
              <w:sdtContent>
                <w:r w:rsidR="00E765F7" w:rsidRPr="005C3F8B">
                  <w:rPr>
                    <w:rFonts w:ascii="Arial" w:hAnsi="Arial"/>
                    <w:b/>
                    <w:bCs/>
                    <w:noProof w:val="0"/>
                    <w:sz w:val="26"/>
                    <w:rtl/>
                  </w:rPr>
                  <w:t>משיבים</w:t>
                </w:r>
              </w:sdtContent>
            </w:sdt>
          </w:p>
        </w:tc>
        <w:tc>
          <w:tcPr>
            <w:tcW w:w="5571" w:type="dxa"/>
          </w:tcPr>
          <w:p w:rsidR="00CF6BB7" w:rsidRPr="005C3F8B" w:rsidRDefault="00B84A6B" w:rsidP="00FE09EC">
            <w:pPr>
              <w:suppressLineNumbers/>
              <w:rPr>
                <w:rFonts w:ascii="Arial" w:hAnsi="Arial"/>
                <w:b/>
                <w:bCs/>
                <w:noProof w:val="0"/>
                <w:sz w:val="26"/>
                <w:rtl/>
              </w:rPr>
            </w:pPr>
            <w:sdt>
              <w:sdtPr>
                <w:rPr>
                  <w:rFonts w:ascii="Arial" w:hAnsi="Arial"/>
                  <w:b/>
                  <w:bCs/>
                  <w:noProof w:val="0"/>
                  <w:sz w:val="26"/>
                  <w:rtl/>
                </w:rPr>
                <w:alias w:val="1571"/>
                <w:tag w:val="1571"/>
                <w:id w:val="1028836282"/>
                <w:text w:multiLine="1"/>
              </w:sdtPr>
              <w:sdtEndPr/>
              <w:sdtContent>
                <w:r w:rsidR="00E765F7" w:rsidRPr="005C3F8B">
                  <w:rPr>
                    <w:rFonts w:ascii="Arial" w:hAnsi="Arial"/>
                    <w:b/>
                    <w:bCs/>
                    <w:noProof w:val="0"/>
                    <w:sz w:val="26"/>
                    <w:rtl/>
                  </w:rPr>
                  <w:t>1</w:t>
                </w:r>
              </w:sdtContent>
            </w:sdt>
            <w:r w:rsidR="0094424E" w:rsidRPr="005C3F8B">
              <w:rPr>
                <w:rFonts w:ascii="Arial" w:hAnsi="Arial"/>
                <w:b/>
                <w:bCs/>
                <w:noProof w:val="0"/>
                <w:sz w:val="26"/>
                <w:rtl/>
              </w:rPr>
              <w:t>.</w:t>
            </w:r>
            <w:r w:rsidR="0094424E" w:rsidRPr="005C3F8B">
              <w:rPr>
                <w:rFonts w:ascii="Arial" w:hAnsi="Arial" w:hint="cs"/>
                <w:b/>
                <w:bCs/>
                <w:noProof w:val="0"/>
                <w:sz w:val="26"/>
                <w:rtl/>
              </w:rPr>
              <w:t xml:space="preserve"> </w:t>
            </w:r>
            <w:sdt>
              <w:sdtPr>
                <w:rPr>
                  <w:rFonts w:ascii="Arial" w:hAnsi="Arial"/>
                  <w:b/>
                  <w:bCs/>
                  <w:noProof w:val="0"/>
                  <w:sz w:val="26"/>
                  <w:rtl/>
                </w:rPr>
                <w:alias w:val="3152"/>
                <w:tag w:val="3152"/>
                <w:id w:val="-1346628691"/>
                <w:placeholder>
                  <w:docPart w:val="4DC45A2FD697422FAA3CD896A84FA7B4"/>
                </w:placeholder>
                <w:text w:multiLine="1"/>
              </w:sdtPr>
              <w:sdtEndPr/>
              <w:sdtContent>
                <w:r w:rsidR="00E765F7" w:rsidRPr="005C3F8B">
                  <w:rPr>
                    <w:rFonts w:ascii="Arial" w:hAnsi="Arial"/>
                    <w:b/>
                    <w:bCs/>
                    <w:noProof w:val="0"/>
                    <w:sz w:val="26"/>
                    <w:rtl/>
                  </w:rPr>
                  <w:t>ערוסי דורון (נאמן)</w:t>
                </w:r>
              </w:sdtContent>
            </w:sdt>
          </w:p>
          <w:p w:rsidR="00CF6BB7" w:rsidRPr="005C3F8B" w:rsidRDefault="00B84A6B" w:rsidP="00FE09EC">
            <w:pPr>
              <w:suppressLineNumbers/>
              <w:rPr>
                <w:rFonts w:ascii="Arial" w:hAnsi="Arial"/>
                <w:b/>
                <w:bCs/>
                <w:noProof w:val="0"/>
                <w:sz w:val="26"/>
                <w:rtl/>
              </w:rPr>
            </w:pPr>
            <w:sdt>
              <w:sdtPr>
                <w:rPr>
                  <w:rFonts w:ascii="Arial" w:hAnsi="Arial"/>
                  <w:b/>
                  <w:bCs/>
                  <w:noProof w:val="0"/>
                  <w:sz w:val="26"/>
                  <w:rtl/>
                </w:rPr>
                <w:alias w:val="1571"/>
                <w:tag w:val="1571"/>
                <w:id w:val="106788673"/>
                <w:text w:multiLine="1"/>
              </w:sdtPr>
              <w:sdtEndPr/>
              <w:sdtContent>
                <w:r w:rsidR="00E765F7" w:rsidRPr="005C3F8B">
                  <w:rPr>
                    <w:rFonts w:ascii="Arial" w:hAnsi="Arial"/>
                    <w:b/>
                    <w:bCs/>
                    <w:noProof w:val="0"/>
                    <w:sz w:val="26"/>
                    <w:rtl/>
                  </w:rPr>
                  <w:t>2</w:t>
                </w:r>
              </w:sdtContent>
            </w:sdt>
            <w:r w:rsidR="0094424E" w:rsidRPr="005C3F8B">
              <w:rPr>
                <w:rFonts w:ascii="Arial" w:hAnsi="Arial"/>
                <w:b/>
                <w:bCs/>
                <w:noProof w:val="0"/>
                <w:sz w:val="26"/>
                <w:rtl/>
              </w:rPr>
              <w:t>.</w:t>
            </w:r>
            <w:r w:rsidR="0094424E" w:rsidRPr="005C3F8B">
              <w:rPr>
                <w:rFonts w:ascii="Arial" w:hAnsi="Arial" w:hint="cs"/>
                <w:b/>
                <w:bCs/>
                <w:noProof w:val="0"/>
                <w:sz w:val="26"/>
                <w:rtl/>
              </w:rPr>
              <w:t xml:space="preserve"> </w:t>
            </w:r>
            <w:sdt>
              <w:sdtPr>
                <w:rPr>
                  <w:rFonts w:ascii="Arial" w:hAnsi="Arial"/>
                  <w:b/>
                  <w:bCs/>
                  <w:noProof w:val="0"/>
                  <w:sz w:val="26"/>
                  <w:rtl/>
                </w:rPr>
                <w:alias w:val="3152"/>
                <w:tag w:val="3152"/>
                <w:id w:val="102156052"/>
                <w:placeholder>
                  <w:docPart w:val="4DC45A2FD697422FAA3CD896A84FA7B4"/>
                </w:placeholder>
                <w:text w:multiLine="1"/>
              </w:sdtPr>
              <w:sdtEndPr/>
              <w:sdtContent>
                <w:r w:rsidR="00E765F7" w:rsidRPr="005C3F8B">
                  <w:rPr>
                    <w:rFonts w:ascii="Arial" w:hAnsi="Arial"/>
                    <w:b/>
                    <w:bCs/>
                    <w:noProof w:val="0"/>
                    <w:sz w:val="26"/>
                    <w:rtl/>
                  </w:rPr>
                  <w:t>ממונה על חדלות פירעון – מחוז תל אביב</w:t>
                </w:r>
              </w:sdtContent>
            </w:sdt>
          </w:p>
        </w:tc>
      </w:tr>
      <w:tr w:rsidR="00694556" w:rsidRPr="005C3F8B">
        <w:trPr>
          <w:jc w:val="center"/>
        </w:trPr>
        <w:tc>
          <w:tcPr>
            <w:tcW w:w="8820" w:type="dxa"/>
            <w:gridSpan w:val="3"/>
          </w:tcPr>
          <w:p w:rsidR="00694556" w:rsidRPr="005C3F8B" w:rsidRDefault="00180519">
            <w:pPr>
              <w:bidi w:val="0"/>
              <w:jc w:val="center"/>
              <w:rPr>
                <w:rFonts w:ascii="Arial" w:hAnsi="Arial"/>
                <w:b/>
                <w:bCs/>
                <w:noProof w:val="0"/>
                <w:sz w:val="28"/>
                <w:u w:val="single"/>
              </w:rPr>
            </w:pPr>
            <w:r w:rsidRPr="005C3F8B">
              <w:rPr>
                <w:rFonts w:ascii="Arial" w:hAnsi="Arial" w:hint="cs"/>
                <w:b/>
                <w:bCs/>
                <w:noProof w:val="0"/>
                <w:sz w:val="28"/>
                <w:u w:val="single"/>
                <w:rtl/>
              </w:rPr>
              <w:t>החלטה</w:t>
            </w:r>
          </w:p>
          <w:p w:rsidR="00D44968" w:rsidRPr="005C3F8B" w:rsidRDefault="00D44968" w:rsidP="00D44968">
            <w:pPr>
              <w:bidi w:val="0"/>
              <w:jc w:val="center"/>
              <w:rPr>
                <w:rFonts w:ascii="Arial" w:hAnsi="Arial"/>
                <w:b/>
                <w:bCs/>
                <w:noProof w:val="0"/>
                <w:sz w:val="28"/>
                <w:u w:val="single"/>
              </w:rPr>
            </w:pPr>
          </w:p>
        </w:tc>
      </w:tr>
    </w:tbl>
    <w:p w:rsidR="005C2E44" w:rsidRPr="005C3F8B" w:rsidRDefault="005C2E44" w:rsidP="00416F01">
      <w:pPr>
        <w:pStyle w:val="3"/>
        <w:rPr>
          <w:rFonts w:cs="David"/>
          <w:rtl/>
        </w:rPr>
      </w:pPr>
      <w:bookmarkStart w:id="1" w:name="NGCSBookmark"/>
      <w:bookmarkEnd w:id="1"/>
      <w:r w:rsidRPr="005C3F8B">
        <w:rPr>
          <w:rFonts w:cs="David"/>
          <w:rtl/>
        </w:rPr>
        <w:t xml:space="preserve">מבוא </w:t>
      </w:r>
    </w:p>
    <w:p w:rsidR="005C2E44" w:rsidRPr="005C3F8B" w:rsidRDefault="005C2E44" w:rsidP="00853B29">
      <w:pPr>
        <w:numPr>
          <w:ilvl w:val="0"/>
          <w:numId w:val="1"/>
        </w:numPr>
        <w:autoSpaceDE w:val="0"/>
        <w:autoSpaceDN w:val="0"/>
        <w:jc w:val="both"/>
      </w:pPr>
      <w:r w:rsidRPr="005C3F8B">
        <w:rPr>
          <w:rtl/>
        </w:rPr>
        <w:t xml:space="preserve">עסקינן בתיק שבו </w:t>
      </w:r>
      <w:r w:rsidR="00D63145">
        <w:rPr>
          <w:rFonts w:hint="cs"/>
          <w:rtl/>
        </w:rPr>
        <w:t xml:space="preserve">יחיד </w:t>
      </w:r>
      <w:r w:rsidRPr="005C3F8B">
        <w:rPr>
          <w:rtl/>
        </w:rPr>
        <w:t xml:space="preserve"> פנה להוצל"פ</w:t>
      </w:r>
      <w:r w:rsidR="004A555B">
        <w:rPr>
          <w:rFonts w:hint="cs"/>
          <w:rtl/>
        </w:rPr>
        <w:t xml:space="preserve"> כדי לפטור מחוב מזונות </w:t>
      </w:r>
      <w:r w:rsidRPr="005C3F8B">
        <w:rPr>
          <w:rtl/>
        </w:rPr>
        <w:t xml:space="preserve"> </w:t>
      </w:r>
      <w:r w:rsidR="00D63145">
        <w:rPr>
          <w:rFonts w:hint="cs"/>
          <w:rtl/>
        </w:rPr>
        <w:t>במקום</w:t>
      </w:r>
      <w:r w:rsidR="004A555B">
        <w:rPr>
          <w:rFonts w:hint="cs"/>
          <w:rtl/>
        </w:rPr>
        <w:t xml:space="preserve"> לפנות ל</w:t>
      </w:r>
      <w:r w:rsidRPr="005C3F8B">
        <w:rPr>
          <w:rtl/>
        </w:rPr>
        <w:t>בי</w:t>
      </w:r>
      <w:r w:rsidR="00D63145">
        <w:rPr>
          <w:rFonts w:hint="cs"/>
          <w:rtl/>
        </w:rPr>
        <w:t xml:space="preserve">המ"ש </w:t>
      </w:r>
      <w:r w:rsidRPr="005C3F8B">
        <w:rPr>
          <w:rtl/>
        </w:rPr>
        <w:t>המחוזי</w:t>
      </w:r>
      <w:r w:rsidR="004A555B">
        <w:rPr>
          <w:rFonts w:hint="cs"/>
          <w:rtl/>
        </w:rPr>
        <w:t xml:space="preserve"> שהוא הערכאה  שדנה בעניינו ולא פטרה אותו מחוב מזונות </w:t>
      </w:r>
      <w:r w:rsidRPr="005C3F8B">
        <w:rPr>
          <w:rtl/>
        </w:rPr>
        <w:t xml:space="preserve"> </w:t>
      </w:r>
      <w:r w:rsidR="00D63145">
        <w:rPr>
          <w:rFonts w:hint="cs"/>
          <w:rtl/>
        </w:rPr>
        <w:t xml:space="preserve">. </w:t>
      </w:r>
      <w:r w:rsidRPr="005C3F8B">
        <w:rPr>
          <w:rtl/>
        </w:rPr>
        <w:t xml:space="preserve">לאחר ביטול  </w:t>
      </w:r>
      <w:r w:rsidR="00D63145">
        <w:rPr>
          <w:rFonts w:hint="cs"/>
          <w:rtl/>
        </w:rPr>
        <w:t>ה</w:t>
      </w:r>
      <w:r w:rsidRPr="005C3F8B">
        <w:rPr>
          <w:rtl/>
        </w:rPr>
        <w:t xml:space="preserve">הליך בהוצל"פ </w:t>
      </w:r>
      <w:r w:rsidR="004A555B">
        <w:rPr>
          <w:rFonts w:hint="cs"/>
          <w:rtl/>
        </w:rPr>
        <w:t xml:space="preserve"> אף פנה </w:t>
      </w:r>
      <w:r w:rsidR="00D63145">
        <w:rPr>
          <w:rFonts w:hint="cs"/>
          <w:rtl/>
        </w:rPr>
        <w:t xml:space="preserve">היחיד </w:t>
      </w:r>
      <w:r w:rsidR="004A555B">
        <w:rPr>
          <w:rFonts w:hint="cs"/>
          <w:rtl/>
        </w:rPr>
        <w:t xml:space="preserve">לבימ"ש השלום </w:t>
      </w:r>
      <w:r w:rsidR="004A555B">
        <w:rPr>
          <w:rFonts w:hint="cs"/>
        </w:rPr>
        <w:t xml:space="preserve"> </w:t>
      </w:r>
      <w:r w:rsidRPr="005C3F8B">
        <w:rPr>
          <w:rtl/>
        </w:rPr>
        <w:t xml:space="preserve"> בערעור על </w:t>
      </w:r>
      <w:r w:rsidR="00853B29">
        <w:rPr>
          <w:rFonts w:hint="cs"/>
          <w:rtl/>
        </w:rPr>
        <w:t>ה</w:t>
      </w:r>
      <w:r w:rsidRPr="005C3F8B">
        <w:rPr>
          <w:rtl/>
        </w:rPr>
        <w:t>החלט</w:t>
      </w:r>
      <w:r w:rsidR="00853B29">
        <w:rPr>
          <w:rFonts w:hint="cs"/>
          <w:rtl/>
        </w:rPr>
        <w:t>ה ב</w:t>
      </w:r>
      <w:r w:rsidR="004A555B">
        <w:rPr>
          <w:rFonts w:hint="cs"/>
          <w:rtl/>
        </w:rPr>
        <w:t xml:space="preserve">הוצל"פ לבטל את ההליך בעניינו </w:t>
      </w:r>
      <w:r w:rsidR="00D63145">
        <w:rPr>
          <w:rFonts w:hint="cs"/>
          <w:rtl/>
        </w:rPr>
        <w:t>.</w:t>
      </w:r>
      <w:r w:rsidRPr="005C3F8B">
        <w:rPr>
          <w:rtl/>
        </w:rPr>
        <w:t xml:space="preserve"> </w:t>
      </w:r>
    </w:p>
    <w:p w:rsidR="005C2E44" w:rsidRPr="005C3F8B" w:rsidRDefault="005C2E44" w:rsidP="00416F01">
      <w:pPr>
        <w:pStyle w:val="3"/>
        <w:rPr>
          <w:rFonts w:cs="David"/>
        </w:rPr>
      </w:pPr>
      <w:r w:rsidRPr="005C3F8B">
        <w:rPr>
          <w:rFonts w:cs="David"/>
          <w:rtl/>
        </w:rPr>
        <w:t xml:space="preserve">התוצאה </w:t>
      </w:r>
    </w:p>
    <w:p w:rsidR="005C2E44" w:rsidRPr="005C3F8B" w:rsidRDefault="005C2E44" w:rsidP="000B2C81">
      <w:pPr>
        <w:numPr>
          <w:ilvl w:val="0"/>
          <w:numId w:val="1"/>
        </w:numPr>
        <w:autoSpaceDE w:val="0"/>
        <w:autoSpaceDN w:val="0"/>
        <w:jc w:val="both"/>
      </w:pPr>
      <w:r w:rsidRPr="005C3F8B">
        <w:rPr>
          <w:rtl/>
        </w:rPr>
        <w:t>אפתח בשורה התחתונה – לפיה מצאתי להורות על מחיקת הערעור והרבה לפנים מהדין אין צו להוצאות . זאת לאחר שה</w:t>
      </w:r>
      <w:r w:rsidR="000B2C81">
        <w:rPr>
          <w:rFonts w:hint="cs"/>
          <w:rtl/>
        </w:rPr>
        <w:t xml:space="preserve">מערער </w:t>
      </w:r>
      <w:r w:rsidRPr="005C3F8B">
        <w:rPr>
          <w:rtl/>
        </w:rPr>
        <w:t xml:space="preserve">לא הגיב עד עתה חרף החלטה  </w:t>
      </w:r>
      <w:r w:rsidRPr="005C3F8B">
        <w:t>,</w:t>
      </w:r>
      <w:r w:rsidRPr="005C3F8B">
        <w:rPr>
          <w:rtl/>
        </w:rPr>
        <w:t xml:space="preserve">התראה </w:t>
      </w:r>
      <w:r w:rsidR="000B2C81">
        <w:rPr>
          <w:rFonts w:hint="cs"/>
          <w:rtl/>
        </w:rPr>
        <w:t>,</w:t>
      </w:r>
      <w:r w:rsidRPr="005C3F8B">
        <w:rPr>
          <w:rtl/>
        </w:rPr>
        <w:t xml:space="preserve">ואף תקופת חסד נוספת </w:t>
      </w:r>
      <w:r w:rsidR="000B2C81">
        <w:rPr>
          <w:rFonts w:hint="cs"/>
          <w:rtl/>
        </w:rPr>
        <w:t xml:space="preserve">.זאת, </w:t>
      </w:r>
      <w:r w:rsidRPr="005C3F8B">
        <w:rPr>
          <w:rtl/>
        </w:rPr>
        <w:t>למרות שמפנית מזכירות עולה מודעות להחלטות הקודמות</w:t>
      </w:r>
      <w:r w:rsidRPr="005C3F8B">
        <w:t>.</w:t>
      </w:r>
    </w:p>
    <w:p w:rsidR="005C2E44" w:rsidRPr="005C3F8B" w:rsidRDefault="005C3F8B" w:rsidP="00416F01">
      <w:pPr>
        <w:numPr>
          <w:ilvl w:val="0"/>
          <w:numId w:val="1"/>
        </w:numPr>
        <w:autoSpaceDE w:val="0"/>
        <w:autoSpaceDN w:val="0"/>
        <w:jc w:val="both"/>
      </w:pPr>
      <w:r w:rsidRPr="005C3F8B">
        <w:rPr>
          <w:rFonts w:hint="cs"/>
          <w:rtl/>
        </w:rPr>
        <w:t>כדי להבהיר אפרט לגבי ה</w:t>
      </w:r>
      <w:r w:rsidR="005C2E44" w:rsidRPr="005C3F8B">
        <w:rPr>
          <w:rtl/>
        </w:rPr>
        <w:t>שתלשלות</w:t>
      </w:r>
      <w:r w:rsidRPr="005C3F8B">
        <w:rPr>
          <w:rFonts w:hint="cs"/>
          <w:rtl/>
        </w:rPr>
        <w:t xml:space="preserve"> </w:t>
      </w:r>
      <w:r w:rsidR="005C2E44" w:rsidRPr="005C3F8B">
        <w:rPr>
          <w:rtl/>
        </w:rPr>
        <w:t xml:space="preserve"> כדלהלן: </w:t>
      </w:r>
    </w:p>
    <w:p w:rsidR="005C2E44" w:rsidRPr="005C3F8B" w:rsidRDefault="005C2E44" w:rsidP="00416F01">
      <w:pPr>
        <w:pStyle w:val="3"/>
        <w:rPr>
          <w:rFonts w:cs="David"/>
        </w:rPr>
      </w:pPr>
      <w:r w:rsidRPr="005C3F8B">
        <w:rPr>
          <w:rFonts w:cs="David"/>
          <w:rtl/>
        </w:rPr>
        <w:t xml:space="preserve">הרקע וההליכים  </w:t>
      </w:r>
    </w:p>
    <w:p w:rsidR="005C2E44" w:rsidRPr="005C3F8B" w:rsidRDefault="005C2E44" w:rsidP="00416F01">
      <w:pPr>
        <w:numPr>
          <w:ilvl w:val="0"/>
          <w:numId w:val="1"/>
        </w:numPr>
        <w:autoSpaceDE w:val="0"/>
        <w:autoSpaceDN w:val="0"/>
        <w:jc w:val="both"/>
        <w:rPr>
          <w:rtl/>
        </w:rPr>
      </w:pPr>
      <w:r w:rsidRPr="005C3F8B">
        <w:rPr>
          <w:rtl/>
        </w:rPr>
        <w:t xml:space="preserve">אזכיר שעסקינן בערעור  שהוגש ביום 23.7.4 על החלטת  רשמת ההוצל"פ  בפתח  תקווה ( כב' הרשמת מיכל שכנר)  מיום 1.7.24,להורות על ביטול הליך חדלות פירעון בסכום נמוך שבו  פתח   המערער מחמת חוב מזונות עבר ( להלן: </w:t>
      </w:r>
      <w:r w:rsidRPr="005C3F8B">
        <w:rPr>
          <w:b/>
          <w:bCs/>
          <w:rtl/>
        </w:rPr>
        <w:t>"ההחלטה"</w:t>
      </w:r>
      <w:r w:rsidRPr="005C3F8B">
        <w:rPr>
          <w:rtl/>
        </w:rPr>
        <w:t>)    וזאת  לאחר שקודם  כבר התנהל בעניינו הליך לפי  פקודת פשיטת הרגל [נוסח חדש], התש"ם-1980 (להלן: "</w:t>
      </w:r>
      <w:r w:rsidRPr="005C3F8B">
        <w:rPr>
          <w:b/>
          <w:bCs/>
          <w:rtl/>
        </w:rPr>
        <w:t>פקודת פשיטת הרגל")</w:t>
      </w:r>
      <w:r w:rsidRPr="005C3F8B">
        <w:rPr>
          <w:rtl/>
        </w:rPr>
        <w:t xml:space="preserve">   בתיק 18272-04-18  שבו אמנם מצא בית המשפט המחוזי ליתן הפטר אך לא מחוב המזונות  ( להלן:" </w:t>
      </w:r>
      <w:r w:rsidRPr="005C3F8B">
        <w:rPr>
          <w:b/>
          <w:bCs/>
          <w:rtl/>
        </w:rPr>
        <w:t>ההליך הקודם "</w:t>
      </w:r>
      <w:r w:rsidRPr="005C3F8B">
        <w:rPr>
          <w:rtl/>
        </w:rPr>
        <w:t>) ההליך הקודם הסתיים ביום 18.2.20.(ס' 27 לכתב הערעור)</w:t>
      </w:r>
    </w:p>
    <w:p w:rsidR="005C2E44" w:rsidRPr="005C3F8B" w:rsidRDefault="005C2E44" w:rsidP="00416F01">
      <w:pPr>
        <w:numPr>
          <w:ilvl w:val="0"/>
          <w:numId w:val="1"/>
        </w:numPr>
        <w:autoSpaceDE w:val="0"/>
        <w:autoSpaceDN w:val="0"/>
        <w:jc w:val="both"/>
      </w:pPr>
      <w:r w:rsidRPr="005C3F8B">
        <w:rPr>
          <w:rtl/>
        </w:rPr>
        <w:t>כעולה מהחלטה שנתנה כבר ביום 17.8.24 :</w:t>
      </w:r>
    </w:p>
    <w:p w:rsidR="005C2E44" w:rsidRPr="005C3F8B" w:rsidRDefault="005C2E44" w:rsidP="00416F01">
      <w:pPr>
        <w:autoSpaceDE w:val="0"/>
        <w:autoSpaceDN w:val="0"/>
        <w:ind w:left="720"/>
        <w:jc w:val="both"/>
      </w:pPr>
      <w:r w:rsidRPr="005C3F8B">
        <w:rPr>
          <w:u w:val="single"/>
          <w:rtl/>
        </w:rPr>
        <w:t xml:space="preserve">המערער לא ציין שפנה  </w:t>
      </w:r>
      <w:r w:rsidRPr="005C3F8B">
        <w:rPr>
          <w:rFonts w:hint="cs"/>
          <w:u w:val="single"/>
        </w:rPr>
        <w:t xml:space="preserve"> </w:t>
      </w:r>
      <w:r w:rsidRPr="005C3F8B">
        <w:rPr>
          <w:u w:val="single"/>
          <w:rtl/>
        </w:rPr>
        <w:t xml:space="preserve">בטענה לשינוי נסיבות לערכאה </w:t>
      </w:r>
      <w:r w:rsidRPr="005C3F8B">
        <w:rPr>
          <w:rFonts w:hint="cs"/>
          <w:u w:val="single"/>
        </w:rPr>
        <w:t xml:space="preserve"> </w:t>
      </w:r>
      <w:r w:rsidRPr="005C3F8B">
        <w:rPr>
          <w:u w:val="single"/>
          <w:rtl/>
        </w:rPr>
        <w:t>שקבעה את המזונות</w:t>
      </w:r>
      <w:r w:rsidRPr="005C3F8B">
        <w:rPr>
          <w:rtl/>
        </w:rPr>
        <w:t xml:space="preserve"> </w:t>
      </w:r>
      <w:r w:rsidRPr="005C3F8B">
        <w:t xml:space="preserve">  </w:t>
      </w:r>
      <w:r w:rsidRPr="005C3F8B">
        <w:rPr>
          <w:rtl/>
        </w:rPr>
        <w:t xml:space="preserve">( ס'31) וזאת, </w:t>
      </w:r>
      <w:r w:rsidRPr="005C3F8B">
        <w:rPr>
          <w:rFonts w:hint="cs"/>
        </w:rPr>
        <w:t xml:space="preserve"> </w:t>
      </w:r>
      <w:r w:rsidRPr="005C3F8B">
        <w:rPr>
          <w:rtl/>
        </w:rPr>
        <w:t>כדי להפריך את חזקת היכולת לשלם מזונות על יסוד החלטת ערכאה מיומנת שבוחנת יכולתו וראו ע"א 7092/13</w:t>
      </w:r>
      <w:r w:rsidRPr="005C3F8B">
        <w:t> </w:t>
      </w:r>
      <w:r w:rsidRPr="005C3F8B">
        <w:rPr>
          <w:b/>
          <w:bCs/>
          <w:rtl/>
        </w:rPr>
        <w:t>ד.מ. נ' י.מ</w:t>
      </w:r>
      <w:r w:rsidRPr="005C3F8B">
        <w:t xml:space="preserve"> )  12.10.2015 ) </w:t>
      </w:r>
      <w:r w:rsidRPr="005C3F8B">
        <w:rPr>
          <w:rtl/>
        </w:rPr>
        <w:t>פסקה 40</w:t>
      </w:r>
      <w:r w:rsidRPr="005C3F8B">
        <w:rPr>
          <w:rFonts w:hint="cs"/>
        </w:rPr>
        <w:t xml:space="preserve"> </w:t>
      </w:r>
      <w:r w:rsidRPr="005C3F8B">
        <w:rPr>
          <w:rtl/>
        </w:rPr>
        <w:t>)</w:t>
      </w:r>
    </w:p>
    <w:p w:rsidR="005C2E44" w:rsidRPr="005C3F8B" w:rsidRDefault="005C2E44" w:rsidP="00416F01">
      <w:pPr>
        <w:autoSpaceDE w:val="0"/>
        <w:autoSpaceDN w:val="0"/>
        <w:ind w:left="720"/>
        <w:jc w:val="both"/>
        <w:rPr>
          <w:sz w:val="22"/>
        </w:rPr>
      </w:pPr>
      <w:r w:rsidRPr="005C3F8B">
        <w:rPr>
          <w:rtl/>
        </w:rPr>
        <w:t xml:space="preserve"> </w:t>
      </w:r>
      <w:r w:rsidRPr="005C3F8B">
        <w:rPr>
          <w:rFonts w:hint="cs"/>
          <w:u w:val="single"/>
          <w:rtl/>
        </w:rPr>
        <w:t xml:space="preserve">ההמערער </w:t>
      </w:r>
      <w:r w:rsidRPr="005C3F8B">
        <w:rPr>
          <w:rFonts w:hint="cs"/>
          <w:u w:val="single"/>
        </w:rPr>
        <w:t xml:space="preserve"> </w:t>
      </w:r>
      <w:r w:rsidRPr="005C3F8B">
        <w:rPr>
          <w:u w:val="single"/>
          <w:rtl/>
        </w:rPr>
        <w:t>לא כתב -שפנה בבקשה לעיון חוזר מכוח סעיף 181 פקודת פשיטת הרגל  לבית המשפט המחוזי שדן בפשיטת רגל</w:t>
      </w:r>
      <w:r w:rsidRPr="005C3F8B">
        <w:rPr>
          <w:rtl/>
        </w:rPr>
        <w:t xml:space="preserve">  ובירר את ענייניו </w:t>
      </w:r>
      <w:r w:rsidRPr="005C3F8B">
        <w:rPr>
          <w:rFonts w:hint="cs"/>
        </w:rPr>
        <w:t xml:space="preserve"> </w:t>
      </w:r>
      <w:r w:rsidRPr="005C3F8B">
        <w:rPr>
          <w:rtl/>
        </w:rPr>
        <w:t>.</w:t>
      </w:r>
    </w:p>
    <w:p w:rsidR="005C2E44" w:rsidRPr="005C3F8B" w:rsidRDefault="005C2E44" w:rsidP="00416F01">
      <w:pPr>
        <w:numPr>
          <w:ilvl w:val="0"/>
          <w:numId w:val="1"/>
        </w:numPr>
        <w:autoSpaceDE w:val="0"/>
        <w:autoSpaceDN w:val="0"/>
        <w:jc w:val="both"/>
        <w:rPr>
          <w:sz w:val="22"/>
        </w:rPr>
      </w:pPr>
      <w:r w:rsidRPr="005C3F8B">
        <w:rPr>
          <w:rtl/>
        </w:rPr>
        <w:t xml:space="preserve">עוד צוין כבר ב17.8.24 שכלל לא ברור מכתב הערעור  על יסוד מה, בחר לפנות לערכאה אחרת  שהיא רשמת ההוצאה לפועל </w:t>
      </w:r>
      <w:r w:rsidRPr="005C3F8B">
        <w:rPr>
          <w:rFonts w:hint="cs"/>
        </w:rPr>
        <w:t xml:space="preserve"> </w:t>
      </w:r>
      <w:r w:rsidRPr="005C3F8B">
        <w:rPr>
          <w:rtl/>
        </w:rPr>
        <w:t>.</w:t>
      </w:r>
      <w:r w:rsidRPr="005C3F8B">
        <w:rPr>
          <w:sz w:val="22"/>
          <w:rtl/>
        </w:rPr>
        <w:t xml:space="preserve"> </w:t>
      </w:r>
      <w:r w:rsidRPr="005C3F8B">
        <w:rPr>
          <w:rtl/>
        </w:rPr>
        <w:t xml:space="preserve">אוסיף שלא  תוארה מניעה מעצם הפניה לבקשה לעיון חוזר </w:t>
      </w:r>
      <w:r w:rsidRPr="005C3F8B">
        <w:rPr>
          <w:rFonts w:hint="cs"/>
        </w:rPr>
        <w:t xml:space="preserve"> </w:t>
      </w:r>
      <w:r w:rsidRPr="005C3F8B">
        <w:rPr>
          <w:rtl/>
        </w:rPr>
        <w:t xml:space="preserve"> וכידוע  ככל שנדחית </w:t>
      </w:r>
      <w:r w:rsidRPr="005C3F8B">
        <w:rPr>
          <w:rFonts w:hint="cs"/>
        </w:rPr>
        <w:t xml:space="preserve"> </w:t>
      </w:r>
      <w:r w:rsidRPr="005C3F8B">
        <w:rPr>
          <w:rtl/>
        </w:rPr>
        <w:t>בקשה לעיון חוזר</w:t>
      </w:r>
      <w:r w:rsidRPr="005C3F8B">
        <w:rPr>
          <w:rFonts w:hint="cs"/>
        </w:rPr>
        <w:t xml:space="preserve"> </w:t>
      </w:r>
      <w:r w:rsidRPr="005C3F8B">
        <w:rPr>
          <w:rtl/>
        </w:rPr>
        <w:t>יש לפנות בבר"ע  על החלטת בית המשפט המחוזי ולא  לפנות לערכאה אחרת במקרה זה רשם ההוצל"פ   . השוו כב' השופטת רונן ב ע"א 7235/22 </w:t>
      </w:r>
      <w:r w:rsidRPr="005C3F8B">
        <w:rPr>
          <w:b/>
          <w:bCs/>
          <w:rtl/>
        </w:rPr>
        <w:t>רוני חיים בן עטר נ' כונס הנכסים הרשמי</w:t>
      </w:r>
      <w:r w:rsidRPr="005C3F8B">
        <w:rPr>
          <w:rtl/>
        </w:rPr>
        <w:t xml:space="preserve"> (נבו 1.12.2022) ( פסקאות 13 ו14) . בית המשפט העליון כבר עמד על בעייתיות  בהעדר פניה לערכאה המבררת  מתוך העדפת פניה לערכאה אחרת תוך הצבעה על הדרך שפתוחה בסעיף 181 לחוק </w:t>
      </w:r>
      <w:r w:rsidRPr="005C3F8B">
        <w:rPr>
          <w:sz w:val="22"/>
          <w:rtl/>
        </w:rPr>
        <w:t xml:space="preserve"> </w:t>
      </w:r>
      <w:r w:rsidRPr="005C3F8B">
        <w:rPr>
          <w:rtl/>
        </w:rPr>
        <w:t>ראו  כב' השופט הנדל   ברע"א 3050/12 </w:t>
      </w:r>
      <w:r w:rsidRPr="005C3F8B">
        <w:rPr>
          <w:b/>
          <w:bCs/>
          <w:rtl/>
        </w:rPr>
        <w:t>פרופ' יוסף גמזו נ' נעמה ישעיהו</w:t>
      </w:r>
      <w:r w:rsidRPr="005C3F8B">
        <w:rPr>
          <w:rtl/>
        </w:rPr>
        <w:t> (נבו 18.11.2012)</w:t>
      </w:r>
      <w:r w:rsidRPr="005C3F8B">
        <w:rPr>
          <w:color w:val="000000"/>
          <w:rtl/>
        </w:rPr>
        <w:t xml:space="preserve"> </w:t>
      </w:r>
      <w:r w:rsidRPr="005C3F8B">
        <w:rPr>
          <w:sz w:val="22"/>
          <w:rtl/>
        </w:rPr>
        <w:t xml:space="preserve"> שם הוחזר הדיון </w:t>
      </w:r>
      <w:r w:rsidRPr="005C3F8B">
        <w:rPr>
          <w:rFonts w:hint="cs"/>
          <w:sz w:val="22"/>
        </w:rPr>
        <w:t xml:space="preserve"> </w:t>
      </w:r>
      <w:r w:rsidRPr="005C3F8B">
        <w:rPr>
          <w:rtl/>
        </w:rPr>
        <w:t>לבית המשפט שדן בפשיטת הרגל  ובין היתר נאמר בפסקה 5:</w:t>
      </w:r>
      <w:r w:rsidRPr="005C3F8B">
        <w:rPr>
          <w:rFonts w:hint="cs"/>
        </w:rPr>
        <w:t xml:space="preserve">  </w:t>
      </w:r>
      <w:r w:rsidRPr="005C3F8B">
        <w:rPr>
          <w:rtl/>
        </w:rPr>
        <w:t xml:space="preserve"> "סיכומו של דבר, הנימוקים מביאים למסקנה כי לא היה זה נכון – לאחר שהוצא צו הפטר – להעביר לבית המשפט לענייני משפחה את סמכות ההכרעה בעניין מעמדו של חוב המזונות. ברם, לא זו המסגרת הדיונית בה אנו מצויים. החייב לא הגיש ערעור על החלטת בית המשפט המחוזי בדבר מתן צו ההפטר. אף לא הוגשה בקשה לעיון חוזר בצו ההפטר, מכוח סעיף 181 לפקודה, בגלגול דיוני מסוים. הוא אף הסכים להעביר את הדיון בחוב המזונות לבית המשפט לענייני משפחה.</w:t>
      </w:r>
      <w:r w:rsidRPr="005C3F8B">
        <w:rPr>
          <w:color w:val="000000"/>
          <w:rtl/>
        </w:rPr>
        <w:t xml:space="preserve"> " שם בפועל הוחזר</w:t>
      </w:r>
      <w:r w:rsidRPr="005C3F8B">
        <w:rPr>
          <w:rFonts w:hint="cs"/>
        </w:rPr>
        <w:t xml:space="preserve"> </w:t>
      </w:r>
      <w:r w:rsidRPr="005C3F8B">
        <w:rPr>
          <w:rtl/>
        </w:rPr>
        <w:t xml:space="preserve"> התיק יוחזר לבית המשפט המחוזי על מנת שיכריע בדבר מעמדו של חוב המזונות של החייב, וכפועל יצא מכך – באשר למתן צו הפטר בעניינו.   </w:t>
      </w:r>
    </w:p>
    <w:p w:rsidR="005C3F8B" w:rsidRDefault="005C2E44" w:rsidP="001C6E26">
      <w:pPr>
        <w:numPr>
          <w:ilvl w:val="0"/>
          <w:numId w:val="1"/>
        </w:numPr>
        <w:shd w:val="clear" w:color="auto" w:fill="FFFFFF"/>
        <w:autoSpaceDE w:val="0"/>
        <w:autoSpaceDN w:val="0"/>
        <w:jc w:val="both"/>
      </w:pPr>
      <w:r w:rsidRPr="005C3F8B">
        <w:rPr>
          <w:rtl/>
        </w:rPr>
        <w:t xml:space="preserve">בהמשך ומעבר לעצם הבקשה </w:t>
      </w:r>
      <w:r w:rsidR="005C3F8B" w:rsidRPr="005C3F8B">
        <w:rPr>
          <w:rFonts w:hint="cs"/>
          <w:rtl/>
        </w:rPr>
        <w:t xml:space="preserve"> לחרוג מכלל תשלום המזונות משום מרכזיותו של חיוב זה</w:t>
      </w:r>
      <w:r w:rsidR="001C6E26">
        <w:rPr>
          <w:rFonts w:hint="cs"/>
          <w:rtl/>
        </w:rPr>
        <w:t>,</w:t>
      </w:r>
      <w:r w:rsidR="005C3F8B" w:rsidRPr="005C3F8B">
        <w:rPr>
          <w:rFonts w:hint="cs"/>
          <w:rtl/>
        </w:rPr>
        <w:t xml:space="preserve"> </w:t>
      </w:r>
      <w:r w:rsidRPr="005C3F8B">
        <w:rPr>
          <w:rtl/>
        </w:rPr>
        <w:t xml:space="preserve">  נתנה ל</w:t>
      </w:r>
      <w:r w:rsidR="001C6E26">
        <w:rPr>
          <w:rFonts w:hint="cs"/>
          <w:rtl/>
        </w:rPr>
        <w:t xml:space="preserve">מערער </w:t>
      </w:r>
      <w:r w:rsidRPr="005C3F8B">
        <w:rPr>
          <w:rtl/>
        </w:rPr>
        <w:t xml:space="preserve">  הזדמנות להבה</w:t>
      </w:r>
      <w:r w:rsidR="005C3F8B" w:rsidRPr="005C3F8B">
        <w:rPr>
          <w:rFonts w:hint="cs"/>
          <w:rtl/>
        </w:rPr>
        <w:t>י</w:t>
      </w:r>
      <w:r w:rsidRPr="005C3F8B">
        <w:rPr>
          <w:rtl/>
        </w:rPr>
        <w:t>ר</w:t>
      </w:r>
      <w:r w:rsidR="00EF7764">
        <w:rPr>
          <w:rFonts w:hint="cs"/>
          <w:rtl/>
        </w:rPr>
        <w:t xml:space="preserve"> גם את </w:t>
      </w:r>
      <w:r w:rsidR="005C3F8B" w:rsidRPr="005C3F8B">
        <w:rPr>
          <w:rFonts w:hint="cs"/>
          <w:b/>
          <w:bCs/>
          <w:rtl/>
        </w:rPr>
        <w:t xml:space="preserve"> </w:t>
      </w:r>
      <w:r w:rsidRPr="005C3F8B">
        <w:rPr>
          <w:b/>
          <w:bCs/>
          <w:rtl/>
        </w:rPr>
        <w:t>התנהלותו החריגה</w:t>
      </w:r>
      <w:r w:rsidRPr="005C3F8B">
        <w:rPr>
          <w:rtl/>
        </w:rPr>
        <w:t xml:space="preserve"> – בנוגע לפניות לערכאות השונות </w:t>
      </w:r>
      <w:r w:rsidRPr="005C3F8B">
        <w:rPr>
          <w:rFonts w:hint="cs"/>
        </w:rPr>
        <w:t xml:space="preserve"> </w:t>
      </w:r>
      <w:r w:rsidRPr="005C3F8B">
        <w:rPr>
          <w:rtl/>
        </w:rPr>
        <w:t xml:space="preserve"> ובין היתר </w:t>
      </w:r>
      <w:r w:rsidR="005C3F8B" w:rsidRPr="005C3F8B">
        <w:rPr>
          <w:rFonts w:hint="cs"/>
          <w:rtl/>
        </w:rPr>
        <w:t>נדרש להתייחס ל</w:t>
      </w:r>
      <w:r w:rsidRPr="005C3F8B">
        <w:rPr>
          <w:rtl/>
        </w:rPr>
        <w:t>נקודות הבאות:  א. האם לשיטתו אין התייחסות</w:t>
      </w:r>
      <w:r w:rsidRPr="005C3F8B">
        <w:t xml:space="preserve">  </w:t>
      </w:r>
      <w:r w:rsidRPr="005C3F8B">
        <w:rPr>
          <w:rtl/>
        </w:rPr>
        <w:t>לאי הפטר ממזונות</w:t>
      </w:r>
      <w:r w:rsidRPr="005C3F8B">
        <w:t xml:space="preserve">  </w:t>
      </w:r>
      <w:r w:rsidRPr="005C3F8B">
        <w:rPr>
          <w:rtl/>
        </w:rPr>
        <w:t>בהחלטת כב' הש ' עורקבי</w:t>
      </w:r>
      <w:r w:rsidRPr="005C3F8B">
        <w:t xml:space="preserve">  ) </w:t>
      </w:r>
      <w:r w:rsidRPr="005C3F8B">
        <w:rPr>
          <w:rtl/>
        </w:rPr>
        <w:t>מ18.2.20</w:t>
      </w:r>
      <w:r w:rsidRPr="005C3F8B">
        <w:t xml:space="preserve">   ( </w:t>
      </w:r>
      <w:r w:rsidRPr="005C3F8B">
        <w:rPr>
          <w:rtl/>
        </w:rPr>
        <w:t xml:space="preserve">וחרף סעיף 5 להחלטתה </w:t>
      </w:r>
      <w:r w:rsidRPr="005C3F8B">
        <w:rPr>
          <w:rFonts w:hint="cs"/>
        </w:rPr>
        <w:t xml:space="preserve"> </w:t>
      </w:r>
      <w:r w:rsidRPr="005C3F8B">
        <w:rPr>
          <w:rtl/>
        </w:rPr>
        <w:t xml:space="preserve">ב. </w:t>
      </w:r>
      <w:r w:rsidRPr="005C3F8B">
        <w:rPr>
          <w:rFonts w:hint="cs"/>
        </w:rPr>
        <w:t xml:space="preserve"> </w:t>
      </w:r>
      <w:r w:rsidRPr="005C3F8B">
        <w:rPr>
          <w:rtl/>
        </w:rPr>
        <w:t>האם היה ערעור על</w:t>
      </w:r>
      <w:r w:rsidRPr="005C3F8B">
        <w:t xml:space="preserve">  </w:t>
      </w:r>
      <w:r w:rsidRPr="005C3F8B">
        <w:rPr>
          <w:rtl/>
        </w:rPr>
        <w:t xml:space="preserve">החלטת ביהמ"ש המחוזי ואם לא מדוע לא ג. </w:t>
      </w:r>
      <w:r w:rsidRPr="005C3F8B">
        <w:t xml:space="preserve">.  </w:t>
      </w:r>
      <w:r w:rsidRPr="005C3F8B">
        <w:rPr>
          <w:rtl/>
        </w:rPr>
        <w:t>ה</w:t>
      </w:r>
      <w:r w:rsidR="001C6E26">
        <w:rPr>
          <w:rFonts w:hint="cs"/>
          <w:rtl/>
        </w:rPr>
        <w:t xml:space="preserve">מערער </w:t>
      </w:r>
      <w:r w:rsidRPr="005C3F8B">
        <w:rPr>
          <w:rtl/>
        </w:rPr>
        <w:t xml:space="preserve"> גם נדרש להבהיר האם </w:t>
      </w:r>
      <w:r w:rsidRPr="005C3F8B">
        <w:rPr>
          <w:rtl/>
        </w:rPr>
        <w:lastRenderedPageBreak/>
        <w:t>פנה</w:t>
      </w:r>
      <w:r w:rsidRPr="005C3F8B">
        <w:t xml:space="preserve">  </w:t>
      </w:r>
      <w:r w:rsidRPr="005C3F8B">
        <w:rPr>
          <w:rtl/>
        </w:rPr>
        <w:t xml:space="preserve">לבית  המשפט המחוזי כערכאה המבררת </w:t>
      </w:r>
      <w:r w:rsidRPr="005C3F8B">
        <w:t xml:space="preserve">  </w:t>
      </w:r>
      <w:r w:rsidRPr="005C3F8B">
        <w:rPr>
          <w:rtl/>
        </w:rPr>
        <w:t>בבקשה להפטר ממזונות</w:t>
      </w:r>
      <w:r w:rsidRPr="005C3F8B">
        <w:t xml:space="preserve">  </w:t>
      </w:r>
      <w:r w:rsidRPr="005C3F8B">
        <w:rPr>
          <w:rtl/>
        </w:rPr>
        <w:t>בשינוי</w:t>
      </w:r>
      <w:r w:rsidRPr="005C3F8B">
        <w:t xml:space="preserve">  </w:t>
      </w:r>
      <w:r w:rsidRPr="005C3F8B">
        <w:rPr>
          <w:rtl/>
        </w:rPr>
        <w:t>החלטה קודמת למשל כעיון חוזר</w:t>
      </w:r>
      <w:r w:rsidR="00EF7764">
        <w:rPr>
          <w:rFonts w:hint="cs"/>
          <w:rtl/>
        </w:rPr>
        <w:t>. בנוסף</w:t>
      </w:r>
      <w:r w:rsidR="00B27E2D">
        <w:rPr>
          <w:rFonts w:hint="cs"/>
          <w:rtl/>
        </w:rPr>
        <w:t>,</w:t>
      </w:r>
      <w:r w:rsidR="00EF7764">
        <w:rPr>
          <w:rFonts w:hint="cs"/>
          <w:rtl/>
        </w:rPr>
        <w:t xml:space="preserve"> נדרשה התייחסות היחיד לגוף הדברים. </w:t>
      </w:r>
      <w:r w:rsidRPr="005C3F8B">
        <w:rPr>
          <w:rFonts w:hint="cs"/>
        </w:rPr>
        <w:t xml:space="preserve"> </w:t>
      </w:r>
    </w:p>
    <w:p w:rsidR="005C2E44" w:rsidRPr="005C3F8B" w:rsidRDefault="005C2E44" w:rsidP="001C6E26">
      <w:pPr>
        <w:numPr>
          <w:ilvl w:val="0"/>
          <w:numId w:val="1"/>
        </w:numPr>
        <w:shd w:val="clear" w:color="auto" w:fill="FFFFFF"/>
        <w:autoSpaceDE w:val="0"/>
        <w:autoSpaceDN w:val="0"/>
        <w:jc w:val="both"/>
      </w:pPr>
      <w:r w:rsidRPr="005C3F8B">
        <w:rPr>
          <w:rtl/>
        </w:rPr>
        <w:t xml:space="preserve"> תגובת</w:t>
      </w:r>
      <w:r w:rsidR="00B27E2D">
        <w:rPr>
          <w:rFonts w:hint="cs"/>
          <w:rtl/>
        </w:rPr>
        <w:t xml:space="preserve"> ה</w:t>
      </w:r>
      <w:r w:rsidR="001C6E26">
        <w:rPr>
          <w:rFonts w:hint="cs"/>
          <w:rtl/>
        </w:rPr>
        <w:t xml:space="preserve">מערער </w:t>
      </w:r>
      <w:r w:rsidR="00B27E2D">
        <w:rPr>
          <w:rFonts w:hint="cs"/>
          <w:rtl/>
        </w:rPr>
        <w:t xml:space="preserve"> נ</w:t>
      </w:r>
      <w:r w:rsidRPr="005C3F8B">
        <w:rPr>
          <w:rtl/>
        </w:rPr>
        <w:t>דרשה עד ליום 30.9.24 אך לא נמסרה</w:t>
      </w:r>
      <w:r w:rsidR="005C3F8B">
        <w:rPr>
          <w:rFonts w:hint="cs"/>
          <w:rtl/>
        </w:rPr>
        <w:t xml:space="preserve"> </w:t>
      </w:r>
      <w:r w:rsidRPr="005C3F8B">
        <w:rPr>
          <w:rtl/>
        </w:rPr>
        <w:t>במועד</w:t>
      </w:r>
      <w:r w:rsidR="005C3F8B">
        <w:rPr>
          <w:rFonts w:hint="cs"/>
          <w:rtl/>
        </w:rPr>
        <w:t xml:space="preserve"> </w:t>
      </w:r>
      <w:r w:rsidRPr="005C3F8B">
        <w:rPr>
          <w:rtl/>
        </w:rPr>
        <w:t xml:space="preserve"> שהוקצב</w:t>
      </w:r>
      <w:r w:rsidR="005C3F8B">
        <w:rPr>
          <w:rFonts w:hint="cs"/>
          <w:rtl/>
        </w:rPr>
        <w:t>.לפיכך</w:t>
      </w:r>
      <w:r w:rsidR="001C6E26">
        <w:rPr>
          <w:rFonts w:hint="cs"/>
          <w:rtl/>
        </w:rPr>
        <w:t>,</w:t>
      </w:r>
      <w:r w:rsidR="005C3F8B">
        <w:rPr>
          <w:rFonts w:hint="cs"/>
          <w:rtl/>
        </w:rPr>
        <w:t xml:space="preserve"> ני</w:t>
      </w:r>
      <w:r w:rsidRPr="005C3F8B">
        <w:rPr>
          <w:rtl/>
        </w:rPr>
        <w:t xml:space="preserve">תנה התראה  </w:t>
      </w:r>
      <w:r w:rsidR="005C3F8B">
        <w:rPr>
          <w:rFonts w:hint="cs"/>
          <w:rtl/>
        </w:rPr>
        <w:t xml:space="preserve">ולפיה </w:t>
      </w:r>
      <w:r w:rsidR="005C3F8B">
        <w:rPr>
          <w:rFonts w:ascii="Arial" w:hAnsi="Arial" w:hint="cs"/>
          <w:noProof w:val="0"/>
          <w:sz w:val="23"/>
          <w:rtl/>
        </w:rPr>
        <w:t>ה</w:t>
      </w:r>
      <w:r w:rsidRPr="005C3F8B">
        <w:rPr>
          <w:rFonts w:ascii="Arial" w:hAnsi="Arial"/>
          <w:noProof w:val="0"/>
          <w:sz w:val="23"/>
          <w:rtl/>
        </w:rPr>
        <w:t xml:space="preserve">עדר </w:t>
      </w:r>
      <w:r w:rsidR="005C3F8B">
        <w:rPr>
          <w:rFonts w:ascii="Arial" w:hAnsi="Arial" w:hint="cs"/>
          <w:noProof w:val="0"/>
          <w:sz w:val="23"/>
          <w:rtl/>
        </w:rPr>
        <w:t>ה</w:t>
      </w:r>
      <w:r w:rsidRPr="005C3F8B">
        <w:rPr>
          <w:rFonts w:ascii="Arial" w:hAnsi="Arial"/>
          <w:noProof w:val="0"/>
          <w:sz w:val="23"/>
          <w:rtl/>
        </w:rPr>
        <w:t>תגובה עד ליום 30.10.24 יוביל למחיקה ללא התראה נוספת</w:t>
      </w:r>
      <w:r w:rsidR="005C3F8B">
        <w:rPr>
          <w:rFonts w:ascii="Arial" w:hAnsi="Arial" w:hint="cs"/>
          <w:noProof w:val="0"/>
          <w:sz w:val="23"/>
          <w:rtl/>
        </w:rPr>
        <w:t>.</w:t>
      </w:r>
      <w:r w:rsidRPr="005C3F8B">
        <w:rPr>
          <w:rFonts w:ascii="Arial" w:hAnsi="Arial"/>
          <w:noProof w:val="0"/>
          <w:sz w:val="23"/>
          <w:rtl/>
        </w:rPr>
        <w:t xml:space="preserve"> </w:t>
      </w:r>
    </w:p>
    <w:p w:rsidR="005C2E44" w:rsidRPr="005C3F8B" w:rsidRDefault="005C2E44" w:rsidP="00416F01">
      <w:pPr>
        <w:pStyle w:val="3"/>
        <w:rPr>
          <w:rFonts w:cs="David"/>
        </w:rPr>
      </w:pPr>
      <w:r w:rsidRPr="005C3F8B">
        <w:rPr>
          <w:rFonts w:cs="David"/>
          <w:rtl/>
        </w:rPr>
        <w:t>תגובת הנאמן</w:t>
      </w:r>
    </w:p>
    <w:p w:rsidR="005C2E44" w:rsidRPr="005C3F8B" w:rsidRDefault="005C2E44" w:rsidP="001C6E26">
      <w:pPr>
        <w:numPr>
          <w:ilvl w:val="0"/>
          <w:numId w:val="1"/>
        </w:numPr>
        <w:shd w:val="clear" w:color="auto" w:fill="FFFFFF"/>
        <w:autoSpaceDE w:val="0"/>
        <w:autoSpaceDN w:val="0"/>
        <w:ind w:left="714" w:hanging="357"/>
      </w:pPr>
      <w:r w:rsidRPr="005C3F8B">
        <w:rPr>
          <w:rtl/>
        </w:rPr>
        <w:t>ה</w:t>
      </w:r>
      <w:r w:rsidR="001C6E26">
        <w:rPr>
          <w:rFonts w:hint="cs"/>
          <w:rtl/>
        </w:rPr>
        <w:t xml:space="preserve">מערער </w:t>
      </w:r>
      <w:r w:rsidRPr="005C3F8B">
        <w:rPr>
          <w:rtl/>
        </w:rPr>
        <w:t xml:space="preserve">לא  הגיב חרף החלטות מיום 7.9.24 ומיום 20.10.24 </w:t>
      </w:r>
      <w:r w:rsidR="005C3F8B">
        <w:rPr>
          <w:rFonts w:hint="cs"/>
          <w:rtl/>
        </w:rPr>
        <w:t>,</w:t>
      </w:r>
      <w:r w:rsidRPr="005C3F8B">
        <w:rPr>
          <w:rtl/>
        </w:rPr>
        <w:t xml:space="preserve"> אך הנאמן הגיש תגובה</w:t>
      </w:r>
      <w:r w:rsidRPr="005C3F8B">
        <w:rPr>
          <w:rFonts w:hint="cs"/>
          <w:rtl/>
        </w:rPr>
        <w:t xml:space="preserve"> בהירה ומנומקת  </w:t>
      </w:r>
      <w:r w:rsidRPr="005C3F8B">
        <w:rPr>
          <w:rtl/>
        </w:rPr>
        <w:t>ביום 29.10.24   לפיה דין הערעור להידחות אגב חיוב המערער בהוצאות הנאמן ציין בין</w:t>
      </w:r>
      <w:r w:rsidR="005C3F8B">
        <w:rPr>
          <w:rFonts w:hint="cs"/>
          <w:rtl/>
        </w:rPr>
        <w:t xml:space="preserve"> </w:t>
      </w:r>
      <w:r w:rsidRPr="005C3F8B">
        <w:rPr>
          <w:rtl/>
        </w:rPr>
        <w:t>היתר כדלהלן</w:t>
      </w:r>
      <w:r w:rsidRPr="005C3F8B">
        <w:t xml:space="preserve"> :</w:t>
      </w:r>
    </w:p>
    <w:p w:rsidR="005C2E44" w:rsidRPr="005C3F8B" w:rsidRDefault="005C2E44" w:rsidP="00416F01">
      <w:pPr>
        <w:pStyle w:val="ad"/>
        <w:numPr>
          <w:ilvl w:val="0"/>
          <w:numId w:val="2"/>
        </w:numPr>
        <w:shd w:val="clear" w:color="auto" w:fill="FFFFFF"/>
      </w:pPr>
      <w:r w:rsidRPr="005C3F8B">
        <w:t xml:space="preserve">  </w:t>
      </w:r>
      <w:r w:rsidR="005C3F8B">
        <w:rPr>
          <w:rFonts w:hint="cs"/>
          <w:rtl/>
        </w:rPr>
        <w:t>"</w:t>
      </w:r>
      <w:r w:rsidRPr="005C3F8B">
        <w:rPr>
          <w:rtl/>
        </w:rPr>
        <w:t>צורמת</w:t>
      </w:r>
      <w:r w:rsidR="005C3F8B">
        <w:rPr>
          <w:rFonts w:hint="cs"/>
          <w:rtl/>
        </w:rPr>
        <w:t>"</w:t>
      </w:r>
      <w:r w:rsidRPr="005C3F8B">
        <w:rPr>
          <w:rtl/>
        </w:rPr>
        <w:t xml:space="preserve"> מכל עובדת עצם פתיחת הליך חדל"פ חדש חלף  בקשה לערכאה המוסמכת שהיא בית המשפט המחוזי  בת"א</w:t>
      </w:r>
      <w:r w:rsidRPr="005C3F8B">
        <w:t xml:space="preserve"> . </w:t>
      </w:r>
      <w:r w:rsidRPr="005C3F8B">
        <w:rPr>
          <w:rtl/>
        </w:rPr>
        <w:t xml:space="preserve">הנאמן סבר  שאין להשלים עם כך </w:t>
      </w:r>
      <w:r w:rsidRPr="005C3F8B">
        <w:rPr>
          <w:rFonts w:hint="cs"/>
        </w:rPr>
        <w:t xml:space="preserve"> </w:t>
      </w:r>
    </w:p>
    <w:p w:rsidR="005C2E44" w:rsidRPr="005C3F8B" w:rsidRDefault="005C2E44" w:rsidP="00416F01">
      <w:pPr>
        <w:pStyle w:val="ad"/>
        <w:numPr>
          <w:ilvl w:val="0"/>
          <w:numId w:val="2"/>
        </w:numPr>
        <w:shd w:val="clear" w:color="auto" w:fill="FFFFFF"/>
      </w:pPr>
      <w:r w:rsidRPr="005C3F8B">
        <w:rPr>
          <w:rFonts w:hint="cs"/>
          <w:rtl/>
        </w:rPr>
        <w:t xml:space="preserve">הנאמן  </w:t>
      </w:r>
      <w:r w:rsidRPr="005C3F8B">
        <w:rPr>
          <w:rtl/>
        </w:rPr>
        <w:t>ציין שבהליך החדש  נושא הערעור פתח רק לדיון והכרעה באותו חוב מזונות עבר .</w:t>
      </w:r>
    </w:p>
    <w:p w:rsidR="005C3F8B" w:rsidRDefault="005C2E44" w:rsidP="00416F01">
      <w:pPr>
        <w:pStyle w:val="ad"/>
        <w:numPr>
          <w:ilvl w:val="0"/>
          <w:numId w:val="2"/>
        </w:numPr>
        <w:shd w:val="clear" w:color="auto" w:fill="FFFFFF"/>
      </w:pPr>
      <w:r w:rsidRPr="005C3F8B">
        <w:rPr>
          <w:rtl/>
        </w:rPr>
        <w:t xml:space="preserve">בכך הנאמן רואה  גם ניצול לרעה של הליכי משפט שיש בו לפגוע בנושה בעלת חוב המזונות   </w:t>
      </w:r>
      <w:r w:rsidRPr="005C3F8B">
        <w:t xml:space="preserve">) </w:t>
      </w:r>
      <w:r w:rsidRPr="005C3F8B">
        <w:rPr>
          <w:rtl/>
        </w:rPr>
        <w:t>סעיף 8.3</w:t>
      </w:r>
      <w:r w:rsidRPr="005C3F8B">
        <w:t xml:space="preserve">(  </w:t>
      </w:r>
      <w:r w:rsidRPr="005C3F8B">
        <w:rPr>
          <w:rtl/>
        </w:rPr>
        <w:t xml:space="preserve"> </w:t>
      </w:r>
    </w:p>
    <w:p w:rsidR="005C2E44" w:rsidRDefault="005C2E44" w:rsidP="001C6E26">
      <w:pPr>
        <w:pStyle w:val="ad"/>
        <w:numPr>
          <w:ilvl w:val="0"/>
          <w:numId w:val="2"/>
        </w:numPr>
        <w:shd w:val="clear" w:color="auto" w:fill="FFFFFF"/>
      </w:pPr>
      <w:r w:rsidRPr="005C3F8B">
        <w:rPr>
          <w:rtl/>
        </w:rPr>
        <w:t>הנאמן</w:t>
      </w:r>
      <w:r w:rsidR="001C6E26">
        <w:rPr>
          <w:rFonts w:hint="cs"/>
          <w:rtl/>
        </w:rPr>
        <w:t>,</w:t>
      </w:r>
      <w:r w:rsidRPr="005C3F8B">
        <w:rPr>
          <w:rtl/>
        </w:rPr>
        <w:t xml:space="preserve"> ציין</w:t>
      </w:r>
      <w:r w:rsidR="001C6E26">
        <w:rPr>
          <w:rFonts w:hint="cs"/>
          <w:rtl/>
        </w:rPr>
        <w:t>,</w:t>
      </w:r>
      <w:r w:rsidRPr="005C3F8B">
        <w:rPr>
          <w:rtl/>
        </w:rPr>
        <w:t xml:space="preserve"> שגם בהליך החדש</w:t>
      </w:r>
      <w:r w:rsidR="001C6E26">
        <w:rPr>
          <w:rFonts w:hint="cs"/>
          <w:rtl/>
        </w:rPr>
        <w:t xml:space="preserve">   בהוצל"פ,</w:t>
      </w:r>
      <w:r w:rsidRPr="005C3F8B">
        <w:rPr>
          <w:rtl/>
        </w:rPr>
        <w:t xml:space="preserve"> המערער נהג בחוסר תום לב ( סעיף 8.1</w:t>
      </w:r>
      <w:r w:rsidRPr="005C3F8B">
        <w:t xml:space="preserve">(  </w:t>
      </w:r>
      <w:r w:rsidRPr="005C3F8B">
        <w:rPr>
          <w:rtl/>
        </w:rPr>
        <w:t xml:space="preserve">גם כי   לא הבהיר ולא המציא מסמכים בכל הנוגע למקום מגוריו  העדכני לא השיב עניינית לשאלות ועדיין מסרב  </w:t>
      </w:r>
      <w:r w:rsidRPr="005C3F8B">
        <w:t xml:space="preserve">) </w:t>
      </w:r>
      <w:r w:rsidRPr="005C3F8B">
        <w:rPr>
          <w:rtl/>
        </w:rPr>
        <w:t>סעיף 5  סעיף 8.1</w:t>
      </w:r>
      <w:r w:rsidRPr="005C3F8B">
        <w:t xml:space="preserve">(  </w:t>
      </w:r>
      <w:r w:rsidRPr="005C3F8B">
        <w:rPr>
          <w:rtl/>
        </w:rPr>
        <w:t xml:space="preserve">ג. הנאמן ציין חוסר תום לב ביצירת חובותיו - סעיף 8.2  ד. הנאמן ציין שאין בהליך חדש למנוע חדל"פ כי אין נסיבות חריגות לפטור מחוב מזנות שלפי סעיף 175 כנקודת מוצא לא בר הפטר וזאת לפי מבחני הפסיקה  </w:t>
      </w:r>
      <w:r w:rsidRPr="005C3F8B">
        <w:rPr>
          <w:rFonts w:hint="cs"/>
          <w:rtl/>
        </w:rPr>
        <w:t xml:space="preserve">. </w:t>
      </w:r>
      <w:r w:rsidRPr="005C3F8B">
        <w:rPr>
          <w:rtl/>
        </w:rPr>
        <w:t xml:space="preserve"> </w:t>
      </w:r>
      <w:r w:rsidRPr="005C3F8B">
        <w:rPr>
          <w:rFonts w:hint="cs"/>
          <w:rtl/>
        </w:rPr>
        <w:t xml:space="preserve">בשורה התחתונה  סבר במיוחד עקב  ניצול הליך  לרעה שדין הערעור להידחות תוך חיוב בהוצאות  </w:t>
      </w:r>
    </w:p>
    <w:p w:rsidR="00000704" w:rsidRPr="005C3F8B" w:rsidRDefault="00000704" w:rsidP="00461B0A">
      <w:pPr>
        <w:numPr>
          <w:ilvl w:val="0"/>
          <w:numId w:val="1"/>
        </w:numPr>
        <w:shd w:val="clear" w:color="auto" w:fill="FFFFFF"/>
        <w:autoSpaceDE w:val="0"/>
        <w:autoSpaceDN w:val="0"/>
        <w:ind w:left="714" w:hanging="357"/>
      </w:pPr>
      <w:r>
        <w:rPr>
          <w:rFonts w:hint="cs"/>
          <w:rtl/>
        </w:rPr>
        <w:t xml:space="preserve">פניה להליך חדש הוצל"פ היא על פניה לא דרך לעקוף את החלטת בית המשפט המחוזי שלא לפטור מחוב מזונות שהוא כנקודת מוצא לאו בר הפטר מסיבות המעוגנות בחוק ובפסיקה </w:t>
      </w:r>
      <w:r>
        <w:rPr>
          <w:rtl/>
        </w:rPr>
        <w:t>–</w:t>
      </w:r>
      <w:r>
        <w:rPr>
          <w:rFonts w:hint="cs"/>
          <w:rtl/>
        </w:rPr>
        <w:t xml:space="preserve">וגם משום כך שתיקתו של היחיד שלא הגיב  "רועמת" וזאת מעבר לשיקולים הנוגעים לגוף הבקשה לפטור ממזונות. לגבי שיקולים </w:t>
      </w:r>
      <w:r w:rsidR="00461B0A">
        <w:rPr>
          <w:rFonts w:hint="cs"/>
          <w:rtl/>
        </w:rPr>
        <w:t xml:space="preserve">שביסוד החריג שבסעיף </w:t>
      </w:r>
      <w:r w:rsidR="00461B0A" w:rsidRPr="00461B0A">
        <w:rPr>
          <w:rFonts w:hint="cs"/>
          <w:b/>
          <w:bCs/>
          <w:rtl/>
        </w:rPr>
        <w:t xml:space="preserve">175 </w:t>
      </w:r>
      <w:r w:rsidR="00461B0A" w:rsidRPr="00461B0A">
        <w:rPr>
          <w:rFonts w:hint="cs"/>
          <w:b/>
          <w:bCs/>
        </w:rPr>
        <w:t xml:space="preserve"> </w:t>
      </w:r>
      <w:r w:rsidR="00076EC2" w:rsidRPr="00461B0A">
        <w:rPr>
          <w:b/>
          <w:bCs/>
        </w:rPr>
        <w:t> </w:t>
      </w:r>
      <w:r w:rsidR="00076EC2" w:rsidRPr="00461B0A">
        <w:rPr>
          <w:b/>
          <w:bCs/>
          <w:rtl/>
        </w:rPr>
        <w:t>לחוק חדלות פירעון ושיקום כלכלי, התשע"ח-</w:t>
      </w:r>
      <w:r w:rsidR="00076EC2" w:rsidRPr="00076EC2">
        <w:rPr>
          <w:rtl/>
        </w:rPr>
        <w:t>2018</w:t>
      </w:r>
      <w:r w:rsidR="00076EC2">
        <w:rPr>
          <w:rFonts w:hint="cs"/>
          <w:rtl/>
        </w:rPr>
        <w:t xml:space="preserve"> </w:t>
      </w:r>
      <w:r w:rsidR="00461B0A">
        <w:rPr>
          <w:rFonts w:hint="cs"/>
          <w:rtl/>
        </w:rPr>
        <w:t>ראו בהצעת החוק ובפסיקה המובאת בהרחבה ב</w:t>
      </w:r>
      <w:r w:rsidR="00076EC2">
        <w:rPr>
          <w:rFonts w:hint="cs"/>
          <w:rtl/>
        </w:rPr>
        <w:t>ב</w:t>
      </w:r>
      <w:r w:rsidRPr="00000704">
        <w:rPr>
          <w:rtl/>
        </w:rPr>
        <w:t>חדל"פ (שלום ראשון לציון) 32742-11-21 ח</w:t>
      </w:r>
      <w:r w:rsidRPr="00461B0A">
        <w:rPr>
          <w:b/>
          <w:bCs/>
          <w:rtl/>
        </w:rPr>
        <w:t>.א נ' ממונה על חדלות פירעון מחוז תל אביב</w:t>
      </w:r>
      <w:r w:rsidRPr="00000704">
        <w:rPr>
          <w:rtl/>
        </w:rPr>
        <w:t xml:space="preserve"> (נבו 17.3.2024)</w:t>
      </w:r>
      <w:r>
        <w:rPr>
          <w:rFonts w:hint="cs"/>
          <w:rtl/>
        </w:rPr>
        <w:t xml:space="preserve"> בפרט פסקאות 26-49)</w:t>
      </w:r>
      <w:r w:rsidR="00461B0A">
        <w:rPr>
          <w:rFonts w:hint="cs"/>
        </w:rPr>
        <w:t xml:space="preserve"> </w:t>
      </w:r>
    </w:p>
    <w:p w:rsidR="005C2E44" w:rsidRPr="005C3F8B" w:rsidRDefault="00000704" w:rsidP="00416F01">
      <w:pPr>
        <w:pStyle w:val="3"/>
        <w:rPr>
          <w:rFonts w:ascii="Times New Roman" w:hAnsi="Times New Roman" w:cs="David"/>
          <w:rtl/>
        </w:rPr>
      </w:pPr>
      <w:r>
        <w:rPr>
          <w:rFonts w:cs="David" w:hint="cs"/>
          <w:rtl/>
        </w:rPr>
        <w:t xml:space="preserve"> </w:t>
      </w:r>
      <w:r w:rsidR="005C2E44" w:rsidRPr="005C3F8B">
        <w:rPr>
          <w:rFonts w:cs="David"/>
          <w:rtl/>
        </w:rPr>
        <w:t xml:space="preserve">סוף דבר  </w:t>
      </w:r>
    </w:p>
    <w:p w:rsidR="005C2E44" w:rsidRPr="005C3F8B" w:rsidRDefault="005C2E44" w:rsidP="00416F01">
      <w:pPr>
        <w:numPr>
          <w:ilvl w:val="0"/>
          <w:numId w:val="1"/>
        </w:numPr>
        <w:autoSpaceDE w:val="0"/>
        <w:autoSpaceDN w:val="0"/>
        <w:jc w:val="both"/>
      </w:pPr>
      <w:r w:rsidRPr="005C3F8B">
        <w:rPr>
          <w:rtl/>
        </w:rPr>
        <w:t>מכל הנאמר לעיל</w:t>
      </w:r>
      <w:r w:rsidR="00E25202">
        <w:rPr>
          <w:rFonts w:hint="cs"/>
          <w:rtl/>
        </w:rPr>
        <w:t xml:space="preserve"> ובהמשך להחלטות קודמות </w:t>
      </w:r>
      <w:r w:rsidRPr="005C3F8B">
        <w:rPr>
          <w:rtl/>
        </w:rPr>
        <w:t xml:space="preserve"> הערעור נמחק </w:t>
      </w:r>
      <w:r w:rsidRPr="005C3F8B">
        <w:rPr>
          <w:rFonts w:hint="cs"/>
          <w:rtl/>
        </w:rPr>
        <w:t xml:space="preserve">בזאת. הרבה </w:t>
      </w:r>
      <w:r w:rsidRPr="005C3F8B">
        <w:rPr>
          <w:rtl/>
        </w:rPr>
        <w:t xml:space="preserve">לפנים מהדין ללא צו להוצאות  </w:t>
      </w:r>
    </w:p>
    <w:p w:rsidR="00694556" w:rsidRPr="005C3F8B" w:rsidRDefault="0043502B">
      <w:pPr>
        <w:spacing w:line="360" w:lineRule="auto"/>
        <w:jc w:val="both"/>
        <w:rPr>
          <w:rFonts w:ascii="Arial" w:hAnsi="Arial"/>
          <w:noProof w:val="0"/>
          <w:rtl/>
        </w:rPr>
      </w:pPr>
      <w:r w:rsidRPr="005C3F8B">
        <w:rPr>
          <w:rFonts w:ascii="Arial" w:hAnsi="Arial"/>
          <w:noProof w:val="0"/>
          <w:rtl/>
        </w:rPr>
        <w:t>נית</w:t>
      </w:r>
      <w:r w:rsidRPr="005C3F8B">
        <w:rPr>
          <w:rFonts w:ascii="Arial" w:hAnsi="Arial" w:hint="cs"/>
          <w:noProof w:val="0"/>
          <w:rtl/>
        </w:rPr>
        <w:t>נה</w:t>
      </w:r>
      <w:r w:rsidR="00005C8B" w:rsidRPr="005C3F8B">
        <w:rPr>
          <w:rFonts w:ascii="Arial" w:hAnsi="Arial"/>
          <w:noProof w:val="0"/>
          <w:rtl/>
        </w:rPr>
        <w:t xml:space="preserve"> היום, </w:t>
      </w:r>
      <w:sdt>
        <w:sdtPr>
          <w:rPr>
            <w:rtl/>
          </w:rPr>
          <w:alias w:val="1455"/>
          <w:tag w:val="1455"/>
          <w:id w:val="1666048407"/>
          <w:text w:multiLine="1"/>
        </w:sdtPr>
        <w:sdtEndPr/>
        <w:sdtContent>
          <w:r w:rsidRPr="005C3F8B">
            <w:rPr>
              <w:rFonts w:ascii="Arial" w:hAnsi="Arial"/>
              <w:noProof w:val="0"/>
              <w:rtl/>
            </w:rPr>
            <w:t>י"ג חשוון תשפ"ה</w:t>
          </w:r>
        </w:sdtContent>
      </w:sdt>
      <w:r w:rsidR="00005C8B" w:rsidRPr="005C3F8B">
        <w:rPr>
          <w:rFonts w:ascii="Arial" w:hAnsi="Arial"/>
          <w:noProof w:val="0"/>
          <w:rtl/>
        </w:rPr>
        <w:t xml:space="preserve">, </w:t>
      </w:r>
      <w:sdt>
        <w:sdtPr>
          <w:rPr>
            <w:rtl/>
          </w:rPr>
          <w:alias w:val="1456"/>
          <w:tag w:val="1456"/>
          <w:id w:val="-1186288958"/>
          <w:text w:multiLine="1"/>
        </w:sdtPr>
        <w:sdtEndPr/>
        <w:sdtContent>
          <w:r w:rsidRPr="005C3F8B">
            <w:rPr>
              <w:rFonts w:ascii="Arial" w:hAnsi="Arial"/>
              <w:noProof w:val="0"/>
              <w:rtl/>
            </w:rPr>
            <w:t>14 נובמבר 2024</w:t>
          </w:r>
        </w:sdtContent>
      </w:sdt>
      <w:r w:rsidR="00005C8B" w:rsidRPr="005C3F8B">
        <w:rPr>
          <w:rFonts w:ascii="Arial" w:hAnsi="Arial"/>
          <w:noProof w:val="0"/>
          <w:rtl/>
        </w:rPr>
        <w:t>, בהעדר הצדדים.</w:t>
      </w:r>
    </w:p>
    <w:p w:rsidR="00C43648" w:rsidRPr="005C3F8B" w:rsidRDefault="00B84A6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sidRPr="005C3F8B">
            <w:rPr>
              <w:rFonts w:hint="cs"/>
              <w:rtl/>
            </w:rPr>
            <w:t xml:space="preserve">     </w:t>
          </w:r>
        </w:sdtContent>
      </w:sdt>
    </w:p>
    <w:p w:rsidR="00694556" w:rsidRPr="005C3F8B" w:rsidRDefault="00BD6531" w:rsidP="00BD6531">
      <w:pPr>
        <w:tabs>
          <w:tab w:val="left" w:pos="2553"/>
        </w:tabs>
      </w:pPr>
      <w:r w:rsidRPr="005C3F8B">
        <w:rPr>
          <w:rFonts w:hint="cs"/>
          <w:rtl/>
        </w:rPr>
        <w:tab/>
      </w:r>
      <w:r w:rsidRPr="005C3F8B">
        <w:rPr>
          <w:rFonts w:hint="cs"/>
          <w:rtl/>
        </w:rPr>
        <w:tab/>
      </w:r>
      <w:r w:rsidRPr="005C3F8B">
        <w:rPr>
          <w:rFonts w:hint="cs"/>
          <w:rtl/>
        </w:rPr>
        <w:tab/>
      </w:r>
      <w:r w:rsidRPr="005C3F8B">
        <w:rPr>
          <w:rFonts w:hint="cs"/>
          <w:rtl/>
        </w:rPr>
        <w:tab/>
        <w:t xml:space="preserve">        </w:t>
      </w:r>
      <w:sdt>
        <w:sdtPr>
          <w:rPr>
            <w:rtl/>
          </w:rPr>
          <w:alias w:val="MergeField"/>
          <w:tag w:val="1237"/>
          <w:id w:val="1524832261"/>
        </w:sdtPr>
        <w:sdtEndPr/>
        <w:sdtContent>
          <w:r w:rsidR="00FC73A2" w:rsidRPr="005C3F8B">
            <w:drawing>
              <wp:inline distT="0" distB="0" distL="0" distR="0" wp14:editId="50D07946">
                <wp:extent cx="10858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85850" cy="933450"/>
                        </a:xfrm>
                        <a:prstGeom prst="rect">
                          <a:avLst/>
                        </a:prstGeom>
                      </pic:spPr>
                    </pic:pic>
                  </a:graphicData>
                </a:graphic>
              </wp:inline>
            </w:drawing>
          </w:r>
        </w:sdtContent>
      </w:sdt>
    </w:p>
    <w:p w:rsidR="00694556" w:rsidRPr="005C3F8B" w:rsidRDefault="00694556" w:rsidP="00BD6531">
      <w:pPr>
        <w:tabs>
          <w:tab w:val="left" w:pos="2553"/>
        </w:tabs>
        <w:rPr>
          <w:rFonts w:ascii="Arial" w:hAnsi="Arial"/>
          <w:noProof w:val="0"/>
          <w:rtl/>
        </w:rPr>
      </w:pPr>
    </w:p>
    <w:sectPr w:rsidR="00694556" w:rsidRPr="005C3F8B" w:rsidSect="00416F01">
      <w:headerReference w:type="even" r:id="rId11"/>
      <w:headerReference w:type="default" r:id="rId12"/>
      <w:footerReference w:type="even" r:id="rId13"/>
      <w:footerReference w:type="default" r:id="rId14"/>
      <w:headerReference w:type="first" r:id="rId15"/>
      <w:footerReference w:type="first" r:id="rId16"/>
      <w:pgSz w:w="11907" w:h="16840" w:code="9"/>
      <w:pgMar w:top="720" w:right="720" w:bottom="720" w:left="72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A6B" w:rsidRDefault="00B84A6B">
      <w:r>
        <w:separator/>
      </w:r>
    </w:p>
  </w:endnote>
  <w:endnote w:type="continuationSeparator" w:id="0">
    <w:p w:rsidR="00B84A6B" w:rsidRDefault="00B8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4A8" w:rsidRDefault="009144A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C72D4A">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C72D4A">
      <w:rPr>
        <w:rStyle w:val="ab"/>
        <w:rFonts w:ascii="David" w:hAnsi="David"/>
        <w:rtl/>
      </w:rPr>
      <w:t>2</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4A8" w:rsidRDefault="009144A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A6B" w:rsidRDefault="00B84A6B">
      <w:r>
        <w:separator/>
      </w:r>
    </w:p>
  </w:footnote>
  <w:footnote w:type="continuationSeparator" w:id="0">
    <w:p w:rsidR="00B84A6B" w:rsidRDefault="00B84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4A8" w:rsidRDefault="009144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84A6B"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עחדל"פ</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59209-07-24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אוסטרובסקי נ' דורון(נאמן)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8001591122</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4A8" w:rsidRDefault="009144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F3A73"/>
    <w:multiLevelType w:val="hybridMultilevel"/>
    <w:tmpl w:val="DAC6829A"/>
    <w:lvl w:ilvl="0" w:tplc="B078A18A">
      <w:start w:val="1"/>
      <w:numFmt w:val="hebrew1"/>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 w15:restartNumberingAfterBreak="0">
    <w:nsid w:val="68096954"/>
    <w:multiLevelType w:val="hybridMultilevel"/>
    <w:tmpl w:val="22744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23788"/>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423788&amp;lt;/CaseID&amp;gt;_x000d__x000a_        &amp;lt;DocumentID&amp;gt;460567234&amp;lt;/DocumentID&amp;gt;_x000d__x000a_      &amp;lt;/dt_DocumentCase&amp;gt;_x000d__x000a_      &amp;lt;dt_Document diffgr:id=&amp;quot;dt_Document1&amp;quot; msdata:rowOrder=&amp;quot;0&amp;quot;&amp;gt;_x000d__x000a_        &amp;lt;DocumentID&amp;gt;460567234&amp;lt;/DocumentID&amp;gt;_x000d__x000a_        &amp;lt;DocumentMainID&amp;gt;0&amp;lt;/DocumentMainID&amp;gt;_x000d__x000a_        &amp;lt;CaseID&amp;gt;81423788&amp;lt;/CaseID&amp;gt;_x000d__x000a_        &amp;lt;DocumentIncludedDate&amp;gt;2024-11-14T07:29:22.49+02:00&amp;lt;/DocumentIncludedDate&amp;gt;_x000d__x000a_        &amp;lt;DocumentDesc&amp;gt;החלטה  שניתנה ע&amp;quot;י  אילן בן-דור&amp;lt;/DocumentDesc&amp;gt;_x000d__x000a_        &amp;lt;DocumentDirectionID&amp;gt;2&amp;lt;/DocumentDirectionID&amp;gt;_x000d__x000a_        &amp;lt;SourceID&amp;gt;1&amp;lt;/SourceID&amp;gt;_x000d__x000a_        &amp;lt;VersionNumber&amp;gt;8&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11-14T07:29:22.49+02:00&amp;lt;/DocumentSavingDate&amp;gt;_x000d__x000a_        &amp;lt;DocumentChangeDate&amp;gt;2024-11-14T07:29:22.583+02:00&amp;lt;/DocumentChangeDate&amp;gt;_x000d__x000a_        &amp;lt;IsScanned&amp;gt;false&amp;lt;/IsScanned&amp;gt;_x000d__x000a_        &amp;lt;PageQuantity&amp;gt;0&amp;lt;/PageQuantity&amp;gt;_x000d__x000a_        &amp;lt;DocumentStatusID&amp;gt;2&amp;lt;/DocumentStatusID&amp;gt;_x000d__x000a_        &amp;lt;DocumentStatusChangeDate&amp;gt;2024-11-14T07:29:22.583+02:00&amp;lt;/DocumentStatusChangeDate&amp;gt;_x000d__x000a_        &amp;lt;TemplateVersionID&amp;gt;1&amp;lt;/TemplateVersionID&amp;gt;_x000d__x000a_        &amp;lt;DocumentChangeUserID&amp;gt;059649806@GOV.IL&amp;lt;/DocumentChangeUserID&amp;gt;_x000d__x000a_        &amp;lt;DocumentCreationUserID&amp;gt;059649806@GOV.IL&amp;lt;/DocumentCreationUserID&amp;gt;_x000d__x000a_        &amp;lt;OriginalDocumentID&amp;gt;460563881&amp;lt;/OriginalDocumentID&amp;gt;_x000d__x000a_        &amp;lt;PrivillegeID&amp;gt;1&amp;lt;/PrivillegeID&amp;gt;_x000d__x000a_        &amp;lt;FromPage&amp;gt;0&amp;lt;/FromPage&amp;gt;_x000d__x000a_        &amp;lt;ToPage&amp;gt;0&amp;lt;/ToPage&amp;gt;_x000d__x000a_        &amp;lt;FileID&amp;gt;5dc9252993010000090037f6abcc5694&amp;lt;/FileID&amp;gt;_x000d__x000a_        &amp;lt;URL&amp;gt;\\CTLNFSV02\doc_repository\923\278\3482232993010000090037f6abcc5699_copy.docx&amp;lt;/URL&amp;gt;_x000d__x000a_        &amp;lt;OlivePriority&amp;gt;1&amp;lt;/OlivePriority&amp;gt;_x000d__x000a_        &amp;lt;MetaDataTypeID&amp;gt;1&amp;lt;/MetaDataTypeID&amp;gt;_x000d__x000a_        &amp;lt;MetaDataChangeDate&amp;gt;2024-11-14T07:29:22.58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לן בן-דור&amp;amp;lt;/anyType&amp;amp;gt;_x000d__x000a_    &amp;amp;lt;anyType xsi:type=&amp;quot;xsd:dateTime&amp;quot;&amp;amp;gt;2024-11-14T06:23:37.19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14T06:23:37.19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0704"/>
    <w:rsid w:val="0000226B"/>
    <w:rsid w:val="00005C8B"/>
    <w:rsid w:val="00007DE0"/>
    <w:rsid w:val="000346CC"/>
    <w:rsid w:val="000529D2"/>
    <w:rsid w:val="000564AB"/>
    <w:rsid w:val="00064FBD"/>
    <w:rsid w:val="00076EC2"/>
    <w:rsid w:val="00082AB2"/>
    <w:rsid w:val="000906FE"/>
    <w:rsid w:val="00096AF7"/>
    <w:rsid w:val="000B2C81"/>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248E"/>
    <w:rsid w:val="00180519"/>
    <w:rsid w:val="00191C82"/>
    <w:rsid w:val="001A2243"/>
    <w:rsid w:val="001C4003"/>
    <w:rsid w:val="001C6E26"/>
    <w:rsid w:val="001D4DBF"/>
    <w:rsid w:val="001E75CA"/>
    <w:rsid w:val="00213876"/>
    <w:rsid w:val="002265FF"/>
    <w:rsid w:val="00235B97"/>
    <w:rsid w:val="00262EAA"/>
    <w:rsid w:val="00271B56"/>
    <w:rsid w:val="00280F4E"/>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16F01"/>
    <w:rsid w:val="0043125D"/>
    <w:rsid w:val="0043502B"/>
    <w:rsid w:val="004443AC"/>
    <w:rsid w:val="00444B02"/>
    <w:rsid w:val="00451E28"/>
    <w:rsid w:val="004549C7"/>
    <w:rsid w:val="00461B0A"/>
    <w:rsid w:val="00462C62"/>
    <w:rsid w:val="00465D36"/>
    <w:rsid w:val="0047359A"/>
    <w:rsid w:val="00494885"/>
    <w:rsid w:val="004A555B"/>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6318F"/>
    <w:rsid w:val="005B66D3"/>
    <w:rsid w:val="005C0627"/>
    <w:rsid w:val="005C2E44"/>
    <w:rsid w:val="005C3F8B"/>
    <w:rsid w:val="005D0970"/>
    <w:rsid w:val="005F4F09"/>
    <w:rsid w:val="0061431B"/>
    <w:rsid w:val="00622BAA"/>
    <w:rsid w:val="006306CF"/>
    <w:rsid w:val="006318D8"/>
    <w:rsid w:val="00644E9A"/>
    <w:rsid w:val="00650E96"/>
    <w:rsid w:val="006519DE"/>
    <w:rsid w:val="00671A22"/>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39D7"/>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53B29"/>
    <w:rsid w:val="00863AEB"/>
    <w:rsid w:val="00863F5D"/>
    <w:rsid w:val="00870890"/>
    <w:rsid w:val="00873602"/>
    <w:rsid w:val="00875D12"/>
    <w:rsid w:val="0088479D"/>
    <w:rsid w:val="00891F42"/>
    <w:rsid w:val="00896889"/>
    <w:rsid w:val="008A59EE"/>
    <w:rsid w:val="008A6E97"/>
    <w:rsid w:val="008C5714"/>
    <w:rsid w:val="008D10B2"/>
    <w:rsid w:val="00903896"/>
    <w:rsid w:val="00906F3D"/>
    <w:rsid w:val="009144A8"/>
    <w:rsid w:val="0094424E"/>
    <w:rsid w:val="00955642"/>
    <w:rsid w:val="009622DF"/>
    <w:rsid w:val="0096493F"/>
    <w:rsid w:val="00967DFF"/>
    <w:rsid w:val="009777CA"/>
    <w:rsid w:val="00994341"/>
    <w:rsid w:val="009B20B7"/>
    <w:rsid w:val="009D1A48"/>
    <w:rsid w:val="009E1CE7"/>
    <w:rsid w:val="009E4EA5"/>
    <w:rsid w:val="009F164B"/>
    <w:rsid w:val="009F323C"/>
    <w:rsid w:val="00A3392B"/>
    <w:rsid w:val="00A76FBC"/>
    <w:rsid w:val="00A81988"/>
    <w:rsid w:val="00A85E34"/>
    <w:rsid w:val="00A87DF6"/>
    <w:rsid w:val="00A9144F"/>
    <w:rsid w:val="00A91A2E"/>
    <w:rsid w:val="00A94B64"/>
    <w:rsid w:val="00AA3229"/>
    <w:rsid w:val="00AA7596"/>
    <w:rsid w:val="00AB5E52"/>
    <w:rsid w:val="00AC3B02"/>
    <w:rsid w:val="00AC3B7B"/>
    <w:rsid w:val="00AC5209"/>
    <w:rsid w:val="00AC5857"/>
    <w:rsid w:val="00AE0E34"/>
    <w:rsid w:val="00AE729E"/>
    <w:rsid w:val="00AE7752"/>
    <w:rsid w:val="00AF7FDA"/>
    <w:rsid w:val="00B27E2D"/>
    <w:rsid w:val="00B5356E"/>
    <w:rsid w:val="00B6081E"/>
    <w:rsid w:val="00B62AD7"/>
    <w:rsid w:val="00B66717"/>
    <w:rsid w:val="00B809AD"/>
    <w:rsid w:val="00B80CBD"/>
    <w:rsid w:val="00B84A6B"/>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2D4A"/>
    <w:rsid w:val="00C970D8"/>
    <w:rsid w:val="00CC7622"/>
    <w:rsid w:val="00CD516B"/>
    <w:rsid w:val="00CD608F"/>
    <w:rsid w:val="00CE0084"/>
    <w:rsid w:val="00CF6BB7"/>
    <w:rsid w:val="00D04AA4"/>
    <w:rsid w:val="00D27982"/>
    <w:rsid w:val="00D30D78"/>
    <w:rsid w:val="00D33B86"/>
    <w:rsid w:val="00D44968"/>
    <w:rsid w:val="00D53924"/>
    <w:rsid w:val="00D55D0C"/>
    <w:rsid w:val="00D63145"/>
    <w:rsid w:val="00D96D8C"/>
    <w:rsid w:val="00DA6649"/>
    <w:rsid w:val="00DC1259"/>
    <w:rsid w:val="00DC1BD2"/>
    <w:rsid w:val="00DC2571"/>
    <w:rsid w:val="00DC487C"/>
    <w:rsid w:val="00DD4335"/>
    <w:rsid w:val="00DE1E7D"/>
    <w:rsid w:val="00DE6BF6"/>
    <w:rsid w:val="00E1068A"/>
    <w:rsid w:val="00E25202"/>
    <w:rsid w:val="00E25884"/>
    <w:rsid w:val="00E25B55"/>
    <w:rsid w:val="00E31C2B"/>
    <w:rsid w:val="00E5426A"/>
    <w:rsid w:val="00E54642"/>
    <w:rsid w:val="00E765F7"/>
    <w:rsid w:val="00E80CBE"/>
    <w:rsid w:val="00E9269D"/>
    <w:rsid w:val="00E962E3"/>
    <w:rsid w:val="00EB6C79"/>
    <w:rsid w:val="00EC37E9"/>
    <w:rsid w:val="00EF0AE6"/>
    <w:rsid w:val="00EF7764"/>
    <w:rsid w:val="00F038D8"/>
    <w:rsid w:val="00F06995"/>
    <w:rsid w:val="00F12D66"/>
    <w:rsid w:val="00F13623"/>
    <w:rsid w:val="00F44D1D"/>
    <w:rsid w:val="00F82439"/>
    <w:rsid w:val="00F84B6D"/>
    <w:rsid w:val="00F957E8"/>
    <w:rsid w:val="00FA311A"/>
    <w:rsid w:val="00FA5FDA"/>
    <w:rsid w:val="00FA7FD0"/>
    <w:rsid w:val="00FB6AB3"/>
    <w:rsid w:val="00FC73A2"/>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uiPriority w:val="9"/>
    <w:semiHidden/>
    <w:unhideWhenUsed/>
    <w:qFormat/>
    <w:rsid w:val="005C2E44"/>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uiPriority w:val="9"/>
    <w:semiHidden/>
    <w:rsid w:val="005C2E44"/>
    <w:rPr>
      <w:rFonts w:asciiTheme="majorHAnsi" w:eastAsiaTheme="majorEastAsia" w:hAnsiTheme="majorHAnsi" w:cstheme="majorBidi"/>
      <w:noProof/>
      <w:color w:val="243F60" w:themeColor="accent1" w:themeShade="7F"/>
      <w:sz w:val="24"/>
      <w:szCs w:val="24"/>
    </w:rPr>
  </w:style>
  <w:style w:type="paragraph" w:styleId="ad">
    <w:name w:val="List Paragraph"/>
    <w:basedOn w:val="a"/>
    <w:uiPriority w:val="34"/>
    <w:qFormat/>
    <w:rsid w:val="005C2E44"/>
    <w:pPr>
      <w:ind w:left="720"/>
      <w:contextualSpacing/>
    </w:pPr>
  </w:style>
  <w:style w:type="character" w:styleId="Hyperlink">
    <w:name w:val="Hyperlink"/>
    <w:basedOn w:val="a0"/>
    <w:uiPriority w:val="99"/>
    <w:semiHidden/>
    <w:unhideWhenUsed/>
    <w:rsid w:val="00076E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175262">
      <w:bodyDiv w:val="1"/>
      <w:marLeft w:val="0"/>
      <w:marRight w:val="0"/>
      <w:marTop w:val="0"/>
      <w:marBottom w:val="0"/>
      <w:divBdr>
        <w:top w:val="none" w:sz="0" w:space="0" w:color="auto"/>
        <w:left w:val="none" w:sz="0" w:space="0" w:color="auto"/>
        <w:bottom w:val="none" w:sz="0" w:space="0" w:color="auto"/>
        <w:right w:val="none" w:sz="0" w:space="0" w:color="auto"/>
      </w:divBdr>
      <w:divsChild>
        <w:div w:id="1710570810">
          <w:marLeft w:val="0"/>
          <w:marRight w:val="0"/>
          <w:marTop w:val="0"/>
          <w:marBottom w:val="0"/>
          <w:divBdr>
            <w:top w:val="none" w:sz="0" w:space="0" w:color="auto"/>
            <w:left w:val="none" w:sz="0" w:space="0" w:color="auto"/>
            <w:bottom w:val="none" w:sz="0" w:space="0" w:color="auto"/>
            <w:right w:val="none" w:sz="0" w:space="0" w:color="auto"/>
          </w:divBdr>
        </w:div>
        <w:div w:id="28530078">
          <w:marLeft w:val="0"/>
          <w:marRight w:val="0"/>
          <w:marTop w:val="0"/>
          <w:marBottom w:val="0"/>
          <w:divBdr>
            <w:top w:val="none" w:sz="0" w:space="0" w:color="auto"/>
            <w:left w:val="none" w:sz="0" w:space="0" w:color="auto"/>
            <w:bottom w:val="none" w:sz="0" w:space="0" w:color="auto"/>
            <w:right w:val="none" w:sz="0" w:space="0" w:color="auto"/>
          </w:divBdr>
        </w:div>
        <w:div w:id="572352698">
          <w:marLeft w:val="0"/>
          <w:marRight w:val="0"/>
          <w:marTop w:val="0"/>
          <w:marBottom w:val="0"/>
          <w:divBdr>
            <w:top w:val="none" w:sz="0" w:space="0" w:color="auto"/>
            <w:left w:val="none" w:sz="0" w:space="0" w:color="auto"/>
            <w:bottom w:val="none" w:sz="0" w:space="0" w:color="auto"/>
            <w:right w:val="none" w:sz="0" w:space="0" w:color="auto"/>
          </w:divBdr>
        </w:div>
        <w:div w:id="1134297555">
          <w:marLeft w:val="0"/>
          <w:marRight w:val="0"/>
          <w:marTop w:val="0"/>
          <w:marBottom w:val="0"/>
          <w:divBdr>
            <w:top w:val="none" w:sz="0" w:space="0" w:color="auto"/>
            <w:left w:val="none" w:sz="0" w:space="0" w:color="auto"/>
            <w:bottom w:val="none" w:sz="0" w:space="0" w:color="auto"/>
            <w:right w:val="none" w:sz="0" w:space="0" w:color="auto"/>
          </w:divBdr>
        </w:div>
        <w:div w:id="263074952">
          <w:marLeft w:val="0"/>
          <w:marRight w:val="0"/>
          <w:marTop w:val="0"/>
          <w:marBottom w:val="0"/>
          <w:divBdr>
            <w:top w:val="none" w:sz="0" w:space="0" w:color="auto"/>
            <w:left w:val="none" w:sz="0" w:space="0" w:color="auto"/>
            <w:bottom w:val="none" w:sz="0" w:space="0" w:color="auto"/>
            <w:right w:val="none" w:sz="0" w:space="0" w:color="auto"/>
          </w:divBdr>
        </w:div>
        <w:div w:id="1512407009">
          <w:marLeft w:val="0"/>
          <w:marRight w:val="0"/>
          <w:marTop w:val="0"/>
          <w:marBottom w:val="0"/>
          <w:divBdr>
            <w:top w:val="none" w:sz="0" w:space="0" w:color="auto"/>
            <w:left w:val="none" w:sz="0" w:space="0" w:color="auto"/>
            <w:bottom w:val="none" w:sz="0" w:space="0" w:color="auto"/>
            <w:right w:val="none" w:sz="0" w:space="0" w:color="auto"/>
          </w:divBdr>
        </w:div>
        <w:div w:id="2088261245">
          <w:marLeft w:val="0"/>
          <w:marRight w:val="0"/>
          <w:marTop w:val="0"/>
          <w:marBottom w:val="0"/>
          <w:divBdr>
            <w:top w:val="none" w:sz="0" w:space="0" w:color="auto"/>
            <w:left w:val="none" w:sz="0" w:space="0" w:color="auto"/>
            <w:bottom w:val="none" w:sz="0" w:space="0" w:color="auto"/>
            <w:right w:val="none" w:sz="0" w:space="0" w:color="auto"/>
          </w:divBdr>
        </w:div>
        <w:div w:id="152379678">
          <w:marLeft w:val="0"/>
          <w:marRight w:val="0"/>
          <w:marTop w:val="0"/>
          <w:marBottom w:val="0"/>
          <w:divBdr>
            <w:top w:val="none" w:sz="0" w:space="0" w:color="auto"/>
            <w:left w:val="none" w:sz="0" w:space="0" w:color="auto"/>
            <w:bottom w:val="none" w:sz="0" w:space="0" w:color="auto"/>
            <w:right w:val="none" w:sz="0" w:space="0" w:color="auto"/>
          </w:divBdr>
        </w:div>
        <w:div w:id="193738212">
          <w:marLeft w:val="0"/>
          <w:marRight w:val="0"/>
          <w:marTop w:val="0"/>
          <w:marBottom w:val="0"/>
          <w:divBdr>
            <w:top w:val="none" w:sz="0" w:space="0" w:color="auto"/>
            <w:left w:val="none" w:sz="0" w:space="0" w:color="auto"/>
            <w:bottom w:val="none" w:sz="0" w:space="0" w:color="auto"/>
            <w:right w:val="none" w:sz="0" w:space="0" w:color="auto"/>
          </w:divBdr>
        </w:div>
        <w:div w:id="1979264145">
          <w:marLeft w:val="0"/>
          <w:marRight w:val="0"/>
          <w:marTop w:val="0"/>
          <w:marBottom w:val="0"/>
          <w:divBdr>
            <w:top w:val="none" w:sz="0" w:space="0" w:color="auto"/>
            <w:left w:val="none" w:sz="0" w:space="0" w:color="auto"/>
            <w:bottom w:val="none" w:sz="0" w:space="0" w:color="auto"/>
            <w:right w:val="none" w:sz="0" w:space="0" w:color="auto"/>
          </w:divBdr>
        </w:div>
        <w:div w:id="1267228351">
          <w:marLeft w:val="0"/>
          <w:marRight w:val="0"/>
          <w:marTop w:val="0"/>
          <w:marBottom w:val="0"/>
          <w:divBdr>
            <w:top w:val="none" w:sz="0" w:space="0" w:color="auto"/>
            <w:left w:val="none" w:sz="0" w:space="0" w:color="auto"/>
            <w:bottom w:val="none" w:sz="0" w:space="0" w:color="auto"/>
            <w:right w:val="none" w:sz="0" w:space="0" w:color="auto"/>
          </w:divBdr>
        </w:div>
        <w:div w:id="1588150671">
          <w:marLeft w:val="0"/>
          <w:marRight w:val="0"/>
          <w:marTop w:val="0"/>
          <w:marBottom w:val="0"/>
          <w:divBdr>
            <w:top w:val="none" w:sz="0" w:space="0" w:color="auto"/>
            <w:left w:val="none" w:sz="0" w:space="0" w:color="auto"/>
            <w:bottom w:val="none" w:sz="0" w:space="0" w:color="auto"/>
            <w:right w:val="none" w:sz="0" w:space="0" w:color="auto"/>
          </w:divBdr>
        </w:div>
      </w:divsChild>
    </w:div>
    <w:div w:id="117317942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8177E"/>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22CBC"/>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דורון ערוסי</FullName>
        <FirstName>דורון</FirstName>
        <LastName>ערוסי</LastName>
        <PartyPropertyName/>
        <AuthenticationTypeAndNumber>מ.ר. 36043</AuthenticationTypeAndNumber>
        <RepresentatedOrRepresentativesNames>ערוסי דורון</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273158538</CasePartyID>
        <PartyTypeID>2</PartyTypeID>
        <ActivityStatusID>1</ActivityStatusID>
        <PartyAliasID>23</PartyAliasID>
        <PartyAliasName>בא כוח משיבים</PartyAliasName>
        <LegalEntityID>411303</LegalEntityID>
        <CaseLegalEntityID>129791083</CaseLegalEntityID>
        <AuthenticationTypeID>4</AuthenticationTypeID>
        <AuthenticationTypeName>מ.ר.</AuthenticationTypeName>
        <LegalEntityNumber>36043</LegalEntityNumber>
        <IsMainPartyType>true</IsMainPartyType>
        <CaseDisplayIdentifier>59209-07-24</CaseDisplayIdentifier>
        <CaseTypeID>10296</CaseTypeID>
        <CaseTypeName>ערעור חדלות פירעון (עחדל"פ)</CaseTypeName>
        <CaseName>אוסטרובסקי נ' דורון(נאמן) ואח'</CaseName>
        <FullAddress>דרך מנחם בגין 156 תל אביב -יפו מגדל רסיטל קומה 25</FullAddress>
        <EmailAddress>doron@ar-d.co.il</EmailAddress>
        <MotionID>0</MotionID>
        <CasePleaID>0</CasePleaID>
        <LinkedCaseID>0</LinkedCaseID>
        <PartyID>2</PartyID>
        <CasePartyCategoryID>2</CasePartyCategoryID>
        <LegalEntityAddressID>84045569</LegalEntityAddressID>
        <LegalEntityEmailAddressID>67879143</LegalEntityEmailAddressID>
        <PleaTypeID>6</PleaTypeID>
        <LawyerOfficeName>דורון ערוסי</LawyerOfficeName>
        <LawyerOfficeID>73238121</LawyerOfficeID>
        <GroupPartyAlias/>
        <IsConverted>false</IsConverted>
        <LegalEntityNameID>32287</LegalEntityNameID>
        <RepresentatedNamesOfAssistant/>
        <LegalEntityTypeID>4</LegalEntityTypeID>
        <IsVerdictExists>false</IsVerdictExists>
        <IsAsirAzir>false</IsAsirAzir>
        <MainAndSecSpec/>
        <IsPublicationProhibited>false</IsPublicationProhibited>
        <PublicationProhibitedFullName>דורון ערוסי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שגיא אוסטרובסקי</FullName>
        <FirstName>שגיא</FirstName>
        <LastName>אוסטרובסקי</LastName>
        <PartyPropertyName/>
        <AuthenticationTypeAndNumber>ת"ז 324374073</AuthenticationTypeAndNumber>
        <RepresentatedOrRepresentativesNames>מישאל גאון</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273158250</CasePartyID>
        <PartyTypeID>1</PartyTypeID>
        <ActivityStatusID>1</ActivityStatusID>
        <PartyAliasID>5</PartyAliasID>
        <PartyAliasName>מערער</PartyAliasName>
        <OrdinalNumber>1</OrdinalNumber>
        <LegalEntityID>22171737</LegalEntityID>
        <CaseLegalEntityID>129790999</CaseLegalEntityID>
        <AuthenticationTypeID>1</AuthenticationTypeID>
        <AuthenticationTypeName>ת"ז</AuthenticationTypeName>
        <LegalEntityNumber>324374073</LegalEntityNumber>
        <IsMainPartyType>true</IsMainPartyType>
        <CaseDisplayIdentifier>59209-07-24</CaseDisplayIdentifier>
        <CaseTypeID>10296</CaseTypeID>
        <CaseTypeName>ערעור חדלות פירעון (עחדל"פ)</CaseTypeName>
        <CaseName>אוסטרובסקי נ' דורון(נאמן) ואח'</CaseName>
        <FullAddress>בן אליעזר אריה 21 לוד </FullAddress>
        <MotionID>0</MotionID>
        <CasePleaID>0</CasePleaID>
        <FatherName>גנאדי</FatherName>
        <LinkedCaseID>0</LinkedCaseID>
        <PartyID>1</PartyID>
        <CasePartyCategoryID>2</CasePartyCategoryID>
        <LegalEntityAddressID>89583038</LegalEntityAddressID>
        <PleaTypeID>6</PleaTypeID>
        <GroupPartyAlias>מערערים</GroupPartyAlias>
        <IsConverted>false</IsConverted>
        <LegalEntityRegisteredNameID>6052445</LegalEntityRegisteredNameID>
        <LegalEntityNameID>96904067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אוסטרובסקי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מישאל גאון</FullName>
        <FirstName>מישאל</FirstName>
        <LastName>גאון</LastName>
        <PartyPropertyName/>
        <AuthenticationTypeAndNumber>מ.ר. 86958</AuthenticationTypeAndNumber>
        <RepresentatedOrRepresentativesNames>שגיא אוסטרובסקי</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273158251</CasePartyID>
        <PartyTypeID>2</PartyTypeID>
        <ActivityStatusID>1</ActivityStatusID>
        <PartyAliasID>24</PartyAliasID>
        <PartyAliasName>בא כוח מערערים</PartyAliasName>
        <OrdinalNumber>1</OrdinalNumber>
        <LegalEntityID>78834652</LegalEntityID>
        <CaseLegalEntityID>129791000</CaseLegalEntityID>
        <AuthenticationTypeID>4</AuthenticationTypeID>
        <AuthenticationTypeName>מ.ר.</AuthenticationTypeName>
        <LegalEntityNumber>86958</LegalEntityNumber>
        <IsMainPartyType>true</IsMainPartyType>
        <CaseDisplayIdentifier>59209-07-24</CaseDisplayIdentifier>
        <CaseTypeID>10296</CaseTypeID>
        <CaseTypeName>ערעור חדלות פירעון (עחדל"פ)</CaseTypeName>
        <CaseName>אוסטרובסקי נ' דורון(נאמן) ואח'</CaseName>
        <FullAddress>ההגנה 13 ראשון לציון </FullAddress>
        <MotionID>0</MotionID>
        <CasePleaID>0</CasePleaID>
        <LinkedCaseID>0</LinkedCaseID>
        <PartyID>1</PartyID>
        <CasePartyCategoryID>2</CasePartyCategoryID>
        <LegalEntityAddressID>86319346</LegalEntityAddressID>
        <PleaTypeID>6</PleaTypeID>
        <LawyerOfficeName>משרד עו"ד מישאל גאון</LawyerOfficeName>
        <LawyerOfficeID>78834653</LawyerOfficeID>
        <GroupPartyAlias/>
        <IsConverted>false</IsConverted>
        <LegalEntityNameID>89332974</LegalEntityNameID>
        <RepresentatedNamesOfAssistant/>
        <LegalEntityTypeID>4</LegalEntityTypeID>
        <IsVerdictExists>false</IsVerdictExists>
        <IsAsirAzir>false</IsAsirAzir>
        <MainAndSecSpec/>
        <IsPublicationProhibited>false</IsPublicationProhibited>
        <PublicationProhibitedFullName>מישאל גאון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ערוסי דורון (נאמן)</FullName>
        <FirstName>ערוסי</FirstName>
        <LastName>דורון</LastName>
        <PartyPropertyID>15</PartyPropertyID>
        <PartyPropertyName/>
        <AuthenticationTypeAndNumber>ת"ז </AuthenticationTypeAndNumber>
        <RepresentatedOrRepresentativesNames>דורון ערוסי</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273158252</CasePartyID>
        <PartyTypeID>1</PartyTypeID>
        <ActivityStatusID>1</ActivityStatusID>
        <PartyAliasID>4</PartyAliasID>
        <PartyAliasName>משיב</PartyAliasName>
        <OrdinalNumber>1</OrdinalNumber>
        <LegalEntityID>82030736</LegalEntityID>
        <CaseLegalEntityID>129791001</CaseLegalEntityID>
        <AuthenticationTypeID>1</AuthenticationTypeID>
        <AuthenticationTypeName>ת"ז</AuthenticationTypeName>
        <IsMainPartyType>true</IsMainPartyType>
        <CaseDisplayIdentifier>59209-07-24</CaseDisplayIdentifier>
        <CaseTypeID>10296</CaseTypeID>
        <CaseTypeName>ערעור חדלות פירעון (עחדל"פ)</CaseTypeName>
        <CaseName>אוסטרובסקי נ' דורון(נאמן) ואח'</CaseName>
        <FullAddress>ז'בוטינסקי 7 רמת גן </FullAddress>
        <MotionID>0</MotionID>
        <CasePleaID>0</CasePleaID>
        <LinkedCaseID>0</LinkedCaseID>
        <PartyID>2</PartyID>
        <CasePartyCategoryID>2</CasePartyCategoryID>
        <LegalEntityAddressID>89583039</LegalEntityAddressID>
        <PleaTypeID>6</PleaTypeID>
        <GroupPartyAlias>משיבים</GroupPartyAlias>
        <IsConverted>false</IsConverted>
        <LegalEntityNameID>96904068</LegalEntityNameID>
        <RepresentatedNamesOfAssistant/>
        <LegalEntityTypeID>1</LegalEntityTypeID>
        <IsVerdictExists>false</IsVerdictExists>
        <IsAsirAzir>false</IsAsirAzir>
        <MainAndSecSpec/>
        <IsPublicationProhibited>false</IsPublicationProhibited>
        <PublicationProhibitedFullName>ערוסי דורון (נאמן)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278885656</CasePartyID>
        <PartyTypeID>1</PartyTypeID>
        <ActivityStatusID>1</ActivityStatusID>
        <PartyAliasID>4</PartyAliasID>
        <PartyAliasName>משיב</PartyAliasName>
        <OrdinalNumber>2</OrdinalNumber>
        <LegalEntityID>77716800</LegalEntityID>
        <CaseLegalEntityID>132720873</CaseLegalEntityID>
        <AuthenticationTypeID>13</AuthenticationTypeID>
        <AuthenticationTypeName>משרדי ממשלה</AuthenticationTypeName>
        <LegalEntityNumber>570001772</LegalEntityNumber>
        <IsMainPartyType>true</IsMainPartyType>
        <CaseDisplayIdentifier>59209-07-24</CaseDisplayIdentifier>
        <CaseTypeID>10296</CaseTypeID>
        <CaseTypeName>ערעור חדלות פירעון (עחדל"פ)</CaseTypeName>
        <CaseName>אוסטרובסקי נ' דורון(נאמן) ואח'</CaseName>
        <FullAddress>השלושה 2 כניסה ב תל אביב -יפו ת.ד 9040</FullAddress>
        <EmailAddress>tzavim-tv@justice.gov.il</EmailAddress>
        <MotionID>0</MotionID>
        <CasePleaID>0</CasePleaID>
        <LinkedCaseID>0</LinkedCaseID>
        <PartyID>2</PartyID>
        <CasePartyCategoryID>2</CasePartyCategoryID>
        <LegalEntityAddressID>82016569</LegalEntityAddressID>
        <LegalEntityEmailAddressID>68003156</LegalEntityEmailAddressID>
        <PleaTypeID>6</PleaTypeID>
        <GroupPartyAlias>משיבים</GroupPartyAlias>
        <IsConverted>false</IsConverted>
        <LegalEntityRegisteredNameID>8763188</LegalEntityRegisteredNameID>
        <RepresentatedNamesOfAssistant/>
        <LegalEntityTypeID>3</LegalEntityTypeID>
        <IsVerdictExists>false</IsVerdictExists>
        <IsAsirAzir>false</IsAsirAzir>
        <MainAndSecSpec/>
        <IsPublicationProhibited>false</IsPublicationProhibited>
        <PublicationProhibitedFullName>ממונה על חדלות פירעון – מחוז תל אביב</PublicationProhibitedFullName>
      </CaseParties>
    </CasePartiesSelectionDS>
    <DecisionName>החלטה  שניתנה ע"י  אילן בן-דור</DecisionName>
    <CourtDisplayName>בית משפט השלום בראשון לציון</CourtDisplayName>
    <IsCaseJudgePanel>false</IsCaseJudgePanel>
    <DecisionSignatureDate>2024-11-14T05:54:22.3091695+02:00</DecisionSignatureDate>
    <OpenCaseDate>2024-07-23T15:01:00+03:00</OpenCaseDate>
    <CaseFeeSum>0.000</CaseFeeSum>
    <ExternalCaseNumber>8001591122</ExternalCaseNumber>
    <DecisionTypeID>1</DecisionTypeID>
    <DecisionSignatureUserName>אילן בן-דור</DecisionSignatureUserName>
    <DecisionSignatureDateHebrew>2024-11-14T05:54:22.3091695+02:00</DecisionSignatureDateHebrew>
    <DecisionWriterID>059649806@GOV.IL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אוסטרובסקי נ' דורון(נאמן) ואח'</CaseName>
    <DecisionNumberInCase>13</DecisionNumberInCase>
  </dt_Decision>
  <dt_DecisionCase>
    <DecisionID>0</DecisionID>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דורון ערוסי</FullName>
        <FirstName>דורון</FirstName>
        <LastName>ערוסי</LastName>
        <PartyPropertyName/>
        <AuthenticationTypeAndNumber>מ.ר. 36043</AuthenticationTypeAndNumber>
        <RepresentatedOrRepresentativesNames>ערוסי דורון</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273158538</CasePartyID>
        <PartyTypeID>2</PartyTypeID>
        <ActivityStatusID>1</ActivityStatusID>
        <PartyAliasID>23</PartyAliasID>
        <PartyAliasName>בא כוח משיבים</PartyAliasName>
        <LegalEntityID>411303</LegalEntityID>
        <CaseLegalEntityID>129791083</CaseLegalEntityID>
        <AuthenticationTypeID>4</AuthenticationTypeID>
        <AuthenticationTypeName>מ.ר.</AuthenticationTypeName>
        <LegalEntityNumber>36043</LegalEntityNumber>
        <IsMainPartyType>true</IsMainPartyType>
        <CaseDisplayIdentifier>59209-07-24</CaseDisplayIdentifier>
        <CaseTypeID>10296</CaseTypeID>
        <CaseTypeName>ערעור חדלות פירעון (עחדל"פ)</CaseTypeName>
        <CaseName>אוסטרובסקי נ' דורון(נאמן) ואח'</CaseName>
        <FullAddress>דרך מנחם בגין 156 תל אביב -יפו מגדל רסיטל קומה 25</FullAddress>
        <EmailAddress>doron@ar-d.co.il</EmailAddress>
        <MotionID>0</MotionID>
        <CasePleaID>0</CasePleaID>
        <LinkedCaseID>0</LinkedCaseID>
        <PartyID>2</PartyID>
        <CasePartyCategoryID>2</CasePartyCategoryID>
        <LegalEntityAddressID>84045569</LegalEntityAddressID>
        <LegalEntityEmailAddressID>67879143</LegalEntityEmailAddressID>
        <PleaTypeID>6</PleaTypeID>
        <LawyerOfficeName>דורון ערוסי</LawyerOfficeName>
        <LawyerOfficeID>73238121</LawyerOfficeID>
        <GroupPartyAlias/>
        <IsConverted>false</IsConverted>
        <LegalEntityNameID>32287</LegalEntityNameID>
        <RepresentatedNamesOfAssistant/>
        <LegalEntityTypeID>4</LegalEntityTypeID>
        <IsVerdictExists>false</IsVerdictExists>
        <IsAsirAzir>false</IsAsirAzir>
        <MainAndSecSpec/>
        <IsPublicationProhibited>false</IsPublicationProhibited>
        <PublicationProhibitedFullName>דורון ערוסי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שגיא אוסטרובסקי</FullName>
        <FirstName>שגיא</FirstName>
        <LastName>אוסטרובסקי</LastName>
        <PartyPropertyName/>
        <AuthenticationTypeAndNumber>ת"ז 324374073</AuthenticationTypeAndNumber>
        <RepresentatedOrRepresentativesNames>מישאל גאון</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273158250</CasePartyID>
        <PartyTypeID>1</PartyTypeID>
        <ActivityStatusID>1</ActivityStatusID>
        <PartyAliasID>5</PartyAliasID>
        <PartyAliasName>מערער</PartyAliasName>
        <OrdinalNumber>1</OrdinalNumber>
        <LegalEntityID>22171737</LegalEntityID>
        <CaseLegalEntityID>129790999</CaseLegalEntityID>
        <AuthenticationTypeID>1</AuthenticationTypeID>
        <AuthenticationTypeName>ת"ז</AuthenticationTypeName>
        <LegalEntityNumber>324374073</LegalEntityNumber>
        <IsMainPartyType>true</IsMainPartyType>
        <CaseDisplayIdentifier>59209-07-24</CaseDisplayIdentifier>
        <CaseTypeID>10296</CaseTypeID>
        <CaseTypeName>ערעור חדלות פירעון (עחדל"פ)</CaseTypeName>
        <CaseName>אוסטרובסקי נ' דורון(נאמן) ואח'</CaseName>
        <FullAddress>בן אליעזר אריה 21 לוד </FullAddress>
        <MotionID>0</MotionID>
        <CasePleaID>0</CasePleaID>
        <FatherName>גנאדי</FatherName>
        <LinkedCaseID>0</LinkedCaseID>
        <PartyID>1</PartyID>
        <CasePartyCategoryID>2</CasePartyCategoryID>
        <LegalEntityAddressID>89583038</LegalEntityAddressID>
        <PleaTypeID>6</PleaTypeID>
        <GroupPartyAlias>מערערים</GroupPartyAlias>
        <IsConverted>false</IsConverted>
        <LegalEntityRegisteredNameID>6052445</LegalEntityRegisteredNameID>
        <LegalEntityNameID>96904067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אוסטרובסקי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מישאל גאון</FullName>
        <FirstName>מישאל</FirstName>
        <LastName>גאון</LastName>
        <PartyPropertyName/>
        <AuthenticationTypeAndNumber>מ.ר. 86958</AuthenticationTypeAndNumber>
        <RepresentatedOrRepresentativesNames>שגיא אוסטרובסקי</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273158251</CasePartyID>
        <PartyTypeID>2</PartyTypeID>
        <ActivityStatusID>1</ActivityStatusID>
        <PartyAliasID>24</PartyAliasID>
        <PartyAliasName>בא כוח מערערים</PartyAliasName>
        <OrdinalNumber>1</OrdinalNumber>
        <LegalEntityID>78834652</LegalEntityID>
        <CaseLegalEntityID>129791000</CaseLegalEntityID>
        <AuthenticationTypeID>4</AuthenticationTypeID>
        <AuthenticationTypeName>מ.ר.</AuthenticationTypeName>
        <LegalEntityNumber>86958</LegalEntityNumber>
        <IsMainPartyType>true</IsMainPartyType>
        <CaseDisplayIdentifier>59209-07-24</CaseDisplayIdentifier>
        <CaseTypeID>10296</CaseTypeID>
        <CaseTypeName>ערעור חדלות פירעון (עחדל"פ)</CaseTypeName>
        <CaseName>אוסטרובסקי נ' דורון(נאמן) ואח'</CaseName>
        <FullAddress>ההגנה 13 ראשון לציון </FullAddress>
        <MotionID>0</MotionID>
        <CasePleaID>0</CasePleaID>
        <LinkedCaseID>0</LinkedCaseID>
        <PartyID>1</PartyID>
        <CasePartyCategoryID>2</CasePartyCategoryID>
        <LegalEntityAddressID>86319346</LegalEntityAddressID>
        <PleaTypeID>6</PleaTypeID>
        <LawyerOfficeName>משרד עו"ד מישאל גאון</LawyerOfficeName>
        <LawyerOfficeID>78834653</LawyerOfficeID>
        <GroupPartyAlias/>
        <IsConverted>false</IsConverted>
        <LegalEntityNameID>89332974</LegalEntityNameID>
        <RepresentatedNamesOfAssistant/>
        <LegalEntityTypeID>4</LegalEntityTypeID>
        <IsVerdictExists>false</IsVerdictExists>
        <IsAsirAzir>false</IsAsirAzir>
        <MainAndSecSpec/>
        <IsPublicationProhibited>false</IsPublicationProhibited>
        <PublicationProhibitedFullName>מישאל גאון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ערוסי דורון (נאמן)</FullName>
        <FirstName>ערוסי</FirstName>
        <LastName>דורון</LastName>
        <PartyPropertyID>15</PartyPropertyID>
        <PartyPropertyName/>
        <AuthenticationTypeAndNumber>ת"ז </AuthenticationTypeAndNumber>
        <RepresentatedOrRepresentativesNames>דורון ערוסי</RepresentatedOrRepresentativesNames>
        <RepresentatedOrRepresentativesCount>1</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273158252</CasePartyID>
        <PartyTypeID>1</PartyTypeID>
        <ActivityStatusID>1</ActivityStatusID>
        <PartyAliasID>4</PartyAliasID>
        <PartyAliasName>משיב</PartyAliasName>
        <OrdinalNumber>1</OrdinalNumber>
        <LegalEntityID>82030736</LegalEntityID>
        <CaseLegalEntityID>129791001</CaseLegalEntityID>
        <AuthenticationTypeID>1</AuthenticationTypeID>
        <AuthenticationTypeName>ת"ז</AuthenticationTypeName>
        <IsMainPartyType>true</IsMainPartyType>
        <CaseDisplayIdentifier>59209-07-24</CaseDisplayIdentifier>
        <CaseTypeID>10296</CaseTypeID>
        <CaseTypeName>ערעור חדלות פירעון (עחדל"פ)</CaseTypeName>
        <CaseName>אוסטרובסקי נ' דורון(נאמן) ואח'</CaseName>
        <FullAddress>ז'בוטינסקי 7 רמת גן </FullAddress>
        <MotionID>0</MotionID>
        <CasePleaID>0</CasePleaID>
        <LinkedCaseID>0</LinkedCaseID>
        <PartyID>2</PartyID>
        <CasePartyCategoryID>2</CasePartyCategoryID>
        <LegalEntityAddressID>89583039</LegalEntityAddressID>
        <PleaTypeID>6</PleaTypeID>
        <GroupPartyAlias>משיבים</GroupPartyAlias>
        <IsConverted>false</IsConverted>
        <LegalEntityNameID>96904068</LegalEntityNameID>
        <RepresentatedNamesOfAssistant/>
        <LegalEntityTypeID>1</LegalEntityTypeID>
        <IsVerdictExists>false</IsVerdictExists>
        <IsAsirAzir>false</IsAsirAzir>
        <MainAndSecSpec/>
        <IsPublicationProhibited>false</IsPublicationProhibited>
        <PublicationProhibitedFullName>ערוסי דורון (נאמן)</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81423788</CaseID>
        <CaseJudicialPersonPresentationDS>
          <CaseJudicalPersonActive>
            <CaseID>81423788</CaseID>
            <JudicialPersonID>059649806@GOV.IL</JudicialPersonID>
            <JudicialPersonTypeID>1</JudicialPersonTypeID>
            <JudicialTypeID>1</JudicialTypeID>
            <IsChairman>false</IsChairman>
            <TreatmentStartDate>2024-07-23T15:30:10.027+03:00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278885656</CasePartyID>
        <PartyTypeID>1</PartyTypeID>
        <ActivityStatusID>1</ActivityStatusID>
        <PartyAliasID>4</PartyAliasID>
        <PartyAliasName>משיב</PartyAliasName>
        <OrdinalNumber>2</OrdinalNumber>
        <LegalEntityID>77716800</LegalEntityID>
        <CaseLegalEntityID>132720873</CaseLegalEntityID>
        <AuthenticationTypeID>13</AuthenticationTypeID>
        <AuthenticationTypeName>משרדי ממשלה</AuthenticationTypeName>
        <LegalEntityNumber>570001772</LegalEntityNumber>
        <IsMainPartyType>true</IsMainPartyType>
        <CaseDisplayIdentifier>59209-07-24</CaseDisplayIdentifier>
        <CaseTypeID>10296</CaseTypeID>
        <CaseTypeName>ערעור חדלות פירעון (עחדל"פ)</CaseTypeName>
        <CaseName>אוסטרובסקי נ' דורון(נאמן) ואח'</CaseName>
        <FullAddress>השלושה 2 כניסה ב תל אביב -יפו ת.ד 9040</FullAddress>
        <EmailAddress>tzavim-tv@justice.gov.il</EmailAddress>
        <MotionID>0</MotionID>
        <CasePleaID>0</CasePleaID>
        <LinkedCaseID>0</LinkedCaseID>
        <PartyID>2</PartyID>
        <CasePartyCategoryID>2</CasePartyCategoryID>
        <LegalEntityAddressID>82016569</LegalEntityAddressID>
        <LegalEntityEmailAddressID>68003156</LegalEntityEmailAddressID>
        <PleaTypeID>6</PleaTypeID>
        <GroupPartyAlias>משיבים</GroupPartyAlias>
        <IsConverted>false</IsConverted>
        <LegalEntityRegisteredNameID>8763188</LegalEntityRegisteredNameID>
        <RepresentatedNamesOfAssistant/>
        <LegalEntityTypeID>3</LegalEntityTypeID>
        <IsVerdictExists>false</IsVerdictExists>
        <IsAsirAzir>false</IsAsirAzir>
        <MainAndSecSpec/>
        <IsPublicationProhibited>false</IsPublicationProhibited>
        <PublicationProhibitedFullName>ממונה על חדלות פירעון – מחוז תל אביב</PublicationProhibitedFullName>
      </CaseParties>
    </CasePartiesSelectionDS>
    <CaseName>אוסטרובסקי נ' דורון(נאמן) ואח'</CaseName>
    <CaseDisplayIdentifier>59209-07-24</CaseDisplayIdentifier>
    <CaseInterestID>10326</CaseInterestID>
    <CaseTypeShortName>עחדל"פ</CaseTypeShortName>
  </dt_DecisionCase>
  <dt_DecisionJudgePanel>
    <JudgeID>059649806@GOV.IL</JudgeID>
    <DisplayName>אילן בן-דור</DisplayName>
    <RoleName>שופט</RoleName>
    <UserTitleName>שופט</UserTitleName>
  </dt_DecisionJudgePanel>
  <dt_LegalEntityDetails>
    <Fax>03-5665991</Fax>
    <Phone>03-5665990</Phone>
    <AddressDesc>מגדל רסיטל קומה 25 </AddressDesc>
    <PartyID>2</PartyID>
    <PartyTypeID>2</PartyTypeID>
    <DecisionID>0</DecisionID>
    <StreetName>דרך מנחם בגין 156</StreetName>
    <ZipCode>6492108</ZipCode>
    <CityName>תל אביב -יפו</CityName>
    <FullName>דורון ערוסי</FullName>
    <Email>doron@ar-d.co.il</Email>
    <IsPublicationProhibited>false</IsPublicationProhibited>
  </dt_LegalEntityDetails>
  <dt_LegalEntityDetails>
    <PartyID>1</PartyID>
    <PartyTypeID>1</PartyTypeID>
    <DecisionID>0</DecisionID>
    <StreetName>בן אליעזר אריה 21 </StreetName>
    <CityName>לוד</CityName>
    <FullName>שגיא אוסטרובסקי</FullName>
    <IsPublicationProhibited>false</IsPublicationProhibited>
  </dt_LegalEntityDetails>
  <dt_LegalEntityDetails>
    <Fax>03-5077703</Fax>
    <Phone>03-5077730</Phone>
    <PartyID>1</PartyID>
    <PartyTypeID>2</PartyTypeID>
    <DecisionID>0</DecisionID>
    <StreetName>ההגנה 13</StreetName>
    <CityName>ראשון לציון</CityName>
    <FullName>מישאל גאון</FullName>
    <Email>mishael@gaon-law.co.il</Email>
    <IsPublicationProhibited>false</IsPublicationProhibited>
  </dt_LegalEntityDetails>
  <dt_LegalEntityDetails>
    <PartyID>2</PartyID>
    <PartyTypeID>1</PartyTypeID>
    <DecisionID>0</DecisionID>
    <StreetName>ז'בוטינסקי 7</StreetName>
    <CityName>רמת גן</CityName>
    <FullName>ערוסי דורון </FullName>
    <IsPublicationProhibited>false</IsPublicationProhibited>
  </dt_LegalEntityDetails>
  <dt_LegalEntityDetails>
    <Fax>02-6467531</Fax>
    <Phone>03-6899666</Phone>
    <AddressDesc>ת.ד 9040</AddressDesc>
    <PartyID>2</PartyID>
    <PartyTypeID>1</PartyTypeID>
    <DecisionID>0</DecisionID>
    <StreetName>השלושה 2 כניסה ב</StreetName>
    <ZipCode>61090</ZipCode>
    <CityName>תל אביב -יפו</CityName>
    <FullName> ממונה על חדלות פירעון – מחוז תל אביב</FullName>
    <Email>tzavim-tv@justice.gov.il</Email>
    <IsPublicationProhibited>false</IsPublicationProhibited>
  </dt_LegalEntityDetails>
  <dt_CaseJudicalPersonActive>
    <CaseJudicalPerson>שופט אילן בן-דור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EBDE1-AB41-4DE3-A38E-E0F37E8F2313}">
  <ds:schemaRefs/>
</ds:datastoreItem>
</file>

<file path=customXml/itemProps2.xml><?xml version="1.0" encoding="utf-8"?>
<ds:datastoreItem xmlns:ds="http://schemas.openxmlformats.org/officeDocument/2006/customXml" ds:itemID="{456F8A39-2AA8-48C3-AADF-0FE9E40BC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858</Words>
  <Characters>4290</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2024-11-19T09:01:00Z</dcterms:created>
  <dcterms:modified xsi:type="dcterms:W3CDTF">2024-11-19T09:01:00Z</dcterms:modified>
</cp:coreProperties>
</file>